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1A2D" w14:textId="6FDFF9CA" w:rsidR="005C5EB4" w:rsidRPr="00A750C0" w:rsidRDefault="005C5EB4" w:rsidP="005C5EB4">
      <w:pPr>
        <w:pStyle w:val="Rubrik2"/>
      </w:pPr>
      <w:bookmarkStart w:id="0" w:name="bkmStart"/>
      <w:r>
        <w:t xml:space="preserve">Bilaga 5 </w:t>
      </w:r>
      <w:r w:rsidR="002A5F5A">
        <w:t>Tabell med i</w:t>
      </w:r>
      <w:r>
        <w:t xml:space="preserve">nkluderade systematiska översikter </w:t>
      </w:r>
      <w:r w:rsidR="002A5F5A">
        <w:t xml:space="preserve">om </w:t>
      </w:r>
      <w:r>
        <w:t xml:space="preserve">svårnådda gruppers preferenser </w:t>
      </w:r>
      <w:r w:rsidR="07702CF7">
        <w:t xml:space="preserve">för </w:t>
      </w:r>
      <w:r>
        <w:t>öppna mötesplatser</w:t>
      </w:r>
      <w:r w:rsidR="002A5F5A">
        <w:t xml:space="preserve">, n=3. </w:t>
      </w:r>
    </w:p>
    <w:p w14:paraId="0A500518" w14:textId="77777777" w:rsidR="005C5EB4" w:rsidRDefault="005C5EB4" w:rsidP="005C5EB4"/>
    <w:tbl>
      <w:tblPr>
        <w:tblStyle w:val="Rutntstabell4dekorfrg1"/>
        <w:tblW w:w="13887" w:type="dxa"/>
        <w:tblLook w:val="04A0" w:firstRow="1" w:lastRow="0" w:firstColumn="1" w:lastColumn="0" w:noHBand="0" w:noVBand="1"/>
      </w:tblPr>
      <w:tblGrid>
        <w:gridCol w:w="2097"/>
        <w:gridCol w:w="2380"/>
        <w:gridCol w:w="2128"/>
        <w:gridCol w:w="5838"/>
        <w:gridCol w:w="1444"/>
      </w:tblGrid>
      <w:tr w:rsidR="005C5EB4" w:rsidRPr="00901A7B" w14:paraId="7AED7DC8" w14:textId="77777777" w:rsidTr="000B410F">
        <w:trPr>
          <w:cnfStyle w:val="100000000000" w:firstRow="1" w:lastRow="0" w:firstColumn="0" w:lastColumn="0" w:oddVBand="0" w:evenVBand="0" w:oddHBand="0"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2122" w:type="dxa"/>
            <w:shd w:val="clear" w:color="auto" w:fill="2E74B5" w:themeFill="accent1" w:themeFillShade="BF"/>
          </w:tcPr>
          <w:p w14:paraId="454DDBFF" w14:textId="77777777" w:rsidR="005C5EB4" w:rsidRPr="00901A7B" w:rsidRDefault="005C5EB4" w:rsidP="000B410F">
            <w:pPr>
              <w:rPr>
                <w:rFonts w:ascii="Aptos" w:hAnsi="Aptos"/>
                <w:sz w:val="22"/>
              </w:rPr>
            </w:pPr>
            <w:proofErr w:type="spellStart"/>
            <w:r w:rsidRPr="00901A7B">
              <w:rPr>
                <w:rFonts w:ascii="Aptos" w:hAnsi="Aptos"/>
                <w:sz w:val="22"/>
              </w:rPr>
              <w:t>Author</w:t>
            </w:r>
            <w:proofErr w:type="spellEnd"/>
          </w:p>
          <w:p w14:paraId="56FDA0C0" w14:textId="77777777" w:rsidR="005C5EB4" w:rsidRPr="00901A7B" w:rsidRDefault="005C5EB4" w:rsidP="000B410F">
            <w:pPr>
              <w:rPr>
                <w:rFonts w:ascii="Aptos" w:hAnsi="Aptos"/>
                <w:sz w:val="22"/>
              </w:rPr>
            </w:pPr>
            <w:proofErr w:type="spellStart"/>
            <w:r w:rsidRPr="00901A7B">
              <w:rPr>
                <w:rFonts w:ascii="Aptos" w:hAnsi="Aptos"/>
                <w:sz w:val="22"/>
              </w:rPr>
              <w:t>Year</w:t>
            </w:r>
            <w:proofErr w:type="spellEnd"/>
          </w:p>
          <w:p w14:paraId="5B0CBACB" w14:textId="77777777" w:rsidR="005C5EB4" w:rsidRPr="00901A7B" w:rsidRDefault="005C5EB4" w:rsidP="000B410F">
            <w:pPr>
              <w:rPr>
                <w:rFonts w:ascii="Aptos" w:hAnsi="Aptos"/>
                <w:sz w:val="22"/>
              </w:rPr>
            </w:pPr>
            <w:r w:rsidRPr="00901A7B">
              <w:rPr>
                <w:rFonts w:ascii="Aptos" w:hAnsi="Aptos"/>
                <w:sz w:val="22"/>
              </w:rPr>
              <w:t>Country</w:t>
            </w:r>
          </w:p>
        </w:tc>
        <w:tc>
          <w:tcPr>
            <w:tcW w:w="2409" w:type="dxa"/>
            <w:shd w:val="clear" w:color="auto" w:fill="2E74B5" w:themeFill="accent1" w:themeFillShade="BF"/>
          </w:tcPr>
          <w:p w14:paraId="1266DDCF" w14:textId="77777777" w:rsidR="005C5EB4" w:rsidRPr="00901A7B" w:rsidRDefault="005C5EB4" w:rsidP="00901A7B">
            <w:pPr>
              <w:jc w:val="center"/>
              <w:textAlignment w:val="baseline"/>
              <w:cnfStyle w:val="100000000000" w:firstRow="1" w:lastRow="0" w:firstColumn="0" w:lastColumn="0" w:oddVBand="0" w:evenVBand="0" w:oddHBand="0" w:evenHBand="0" w:firstRowFirstColumn="0" w:firstRowLastColumn="0" w:lastRowFirstColumn="0" w:lastRowLastColumn="0"/>
              <w:rPr>
                <w:rFonts w:ascii="Aptos" w:eastAsia="Times New Roman" w:hAnsi="Aptos" w:cs="Segoe UI"/>
                <w:color w:val="auto"/>
                <w:kern w:val="0"/>
                <w:sz w:val="22"/>
                <w:lang w:val="en-US" w:eastAsia="sv-SE"/>
                <w14:ligatures w14:val="none"/>
              </w:rPr>
            </w:pPr>
            <w:r w:rsidRPr="00901A7B">
              <w:rPr>
                <w:rFonts w:ascii="Aptos" w:eastAsia="Times New Roman" w:hAnsi="Aptos" w:cs="Segoe UI"/>
                <w:kern w:val="0"/>
                <w:sz w:val="22"/>
                <w:lang w:val="en-US" w:eastAsia="sv-SE"/>
                <w14:ligatures w14:val="none"/>
              </w:rPr>
              <w:t>Aim</w:t>
            </w:r>
          </w:p>
        </w:tc>
        <w:tc>
          <w:tcPr>
            <w:tcW w:w="2127" w:type="dxa"/>
            <w:shd w:val="clear" w:color="auto" w:fill="2E74B5" w:themeFill="accent1" w:themeFillShade="BF"/>
          </w:tcPr>
          <w:p w14:paraId="0F57FC6F" w14:textId="77777777" w:rsidR="005C5EB4" w:rsidRPr="00901A7B" w:rsidRDefault="005C5EB4" w:rsidP="00901A7B">
            <w:pPr>
              <w:jc w:val="center"/>
              <w:cnfStyle w:val="100000000000" w:firstRow="1" w:lastRow="0" w:firstColumn="0" w:lastColumn="0" w:oddVBand="0" w:evenVBand="0" w:oddHBand="0" w:evenHBand="0" w:firstRowFirstColumn="0" w:firstRowLastColumn="0" w:lastRowFirstColumn="0" w:lastRowLastColumn="0"/>
              <w:rPr>
                <w:rFonts w:ascii="Aptos" w:hAnsi="Aptos"/>
                <w:sz w:val="22"/>
              </w:rPr>
            </w:pPr>
            <w:r w:rsidRPr="00901A7B">
              <w:rPr>
                <w:rFonts w:ascii="Aptos" w:hAnsi="Aptos"/>
                <w:sz w:val="22"/>
              </w:rPr>
              <w:t>Population</w:t>
            </w:r>
          </w:p>
        </w:tc>
        <w:tc>
          <w:tcPr>
            <w:tcW w:w="5953" w:type="dxa"/>
            <w:shd w:val="clear" w:color="auto" w:fill="2E74B5" w:themeFill="accent1" w:themeFillShade="BF"/>
          </w:tcPr>
          <w:p w14:paraId="3D7BE493" w14:textId="77777777" w:rsidR="005C5EB4" w:rsidRPr="00901A7B" w:rsidRDefault="005C5EB4" w:rsidP="00901A7B">
            <w:pPr>
              <w:jc w:val="center"/>
              <w:cnfStyle w:val="100000000000" w:firstRow="1" w:lastRow="0" w:firstColumn="0" w:lastColumn="0" w:oddVBand="0" w:evenVBand="0" w:oddHBand="0" w:evenHBand="0" w:firstRowFirstColumn="0" w:firstRowLastColumn="0" w:lastRowFirstColumn="0" w:lastRowLastColumn="0"/>
              <w:rPr>
                <w:rFonts w:ascii="Aptos" w:hAnsi="Aptos"/>
                <w:sz w:val="22"/>
              </w:rPr>
            </w:pPr>
            <w:proofErr w:type="spellStart"/>
            <w:r w:rsidRPr="00901A7B">
              <w:rPr>
                <w:rFonts w:ascii="Aptos" w:hAnsi="Aptos"/>
                <w:sz w:val="22"/>
              </w:rPr>
              <w:t>Authors</w:t>
            </w:r>
            <w:proofErr w:type="spellEnd"/>
            <w:r w:rsidRPr="00901A7B">
              <w:rPr>
                <w:rFonts w:ascii="Aptos" w:hAnsi="Aptos"/>
                <w:sz w:val="22"/>
              </w:rPr>
              <w:t xml:space="preserve">' </w:t>
            </w:r>
            <w:proofErr w:type="spellStart"/>
            <w:r w:rsidRPr="00901A7B">
              <w:rPr>
                <w:rFonts w:ascii="Aptos" w:hAnsi="Aptos"/>
                <w:sz w:val="22"/>
              </w:rPr>
              <w:t>conclusion</w:t>
            </w:r>
            <w:proofErr w:type="spellEnd"/>
          </w:p>
        </w:tc>
        <w:tc>
          <w:tcPr>
            <w:tcW w:w="1276" w:type="dxa"/>
            <w:shd w:val="clear" w:color="auto" w:fill="2E74B5" w:themeFill="accent1" w:themeFillShade="BF"/>
          </w:tcPr>
          <w:p w14:paraId="54FCA25C" w14:textId="1CE8B764" w:rsidR="005C5EB4" w:rsidRPr="000F2A5A" w:rsidRDefault="000F2A5A" w:rsidP="000F2A5A">
            <w:pPr>
              <w:jc w:val="center"/>
              <w:cnfStyle w:val="100000000000" w:firstRow="1" w:lastRow="0" w:firstColumn="0" w:lastColumn="0" w:oddVBand="0" w:evenVBand="0" w:oddHBand="0" w:evenHBand="0" w:firstRowFirstColumn="0" w:firstRowLastColumn="0" w:lastRowFirstColumn="0" w:lastRowLastColumn="0"/>
              <w:rPr>
                <w:rFonts w:ascii="Aptos" w:hAnsi="Aptos"/>
                <w:b w:val="0"/>
                <w:bCs w:val="0"/>
                <w:sz w:val="22"/>
              </w:rPr>
            </w:pPr>
            <w:r>
              <w:rPr>
                <w:rFonts w:ascii="Aptos" w:hAnsi="Aptos"/>
                <w:sz w:val="22"/>
              </w:rPr>
              <w:t xml:space="preserve">SBU </w:t>
            </w:r>
            <w:proofErr w:type="spellStart"/>
            <w:r>
              <w:rPr>
                <w:rFonts w:ascii="Aptos" w:hAnsi="Aptos"/>
                <w:sz w:val="22"/>
              </w:rPr>
              <w:t>Assessment</w:t>
            </w:r>
            <w:proofErr w:type="spellEnd"/>
            <w:r>
              <w:rPr>
                <w:rFonts w:ascii="Aptos" w:hAnsi="Aptos"/>
                <w:sz w:val="22"/>
              </w:rPr>
              <w:t xml:space="preserve"> </w:t>
            </w:r>
            <w:r w:rsidR="005C5EB4" w:rsidRPr="00901A7B">
              <w:rPr>
                <w:rFonts w:ascii="Aptos" w:hAnsi="Aptos"/>
                <w:sz w:val="22"/>
              </w:rPr>
              <w:t xml:space="preserve">Risk </w:t>
            </w:r>
            <w:proofErr w:type="spellStart"/>
            <w:r w:rsidR="005C5EB4" w:rsidRPr="00901A7B">
              <w:rPr>
                <w:rFonts w:ascii="Aptos" w:hAnsi="Aptos"/>
                <w:sz w:val="22"/>
              </w:rPr>
              <w:t>of</w:t>
            </w:r>
            <w:proofErr w:type="spellEnd"/>
            <w:r w:rsidR="005C5EB4" w:rsidRPr="00901A7B">
              <w:rPr>
                <w:rFonts w:ascii="Aptos" w:hAnsi="Aptos"/>
                <w:sz w:val="22"/>
              </w:rPr>
              <w:t xml:space="preserve"> bias</w:t>
            </w:r>
          </w:p>
        </w:tc>
      </w:tr>
      <w:tr w:rsidR="005C5EB4" w:rsidRPr="00901A7B" w14:paraId="2042B5DB" w14:textId="77777777" w:rsidTr="000B410F">
        <w:trPr>
          <w:cnfStyle w:val="000000100000" w:firstRow="0" w:lastRow="0" w:firstColumn="0" w:lastColumn="0" w:oddVBand="0" w:evenVBand="0" w:oddHBand="1" w:evenHBand="0" w:firstRowFirstColumn="0" w:firstRowLastColumn="0" w:lastRowFirstColumn="0" w:lastRowLastColumn="0"/>
          <w:trHeight w:hRule="exact" w:val="2181"/>
        </w:trPr>
        <w:tc>
          <w:tcPr>
            <w:cnfStyle w:val="001000000000" w:firstRow="0" w:lastRow="0" w:firstColumn="1" w:lastColumn="0" w:oddVBand="0" w:evenVBand="0" w:oddHBand="0" w:evenHBand="0" w:firstRowFirstColumn="0" w:firstRowLastColumn="0" w:lastRowFirstColumn="0" w:lastRowLastColumn="0"/>
            <w:tcW w:w="2122" w:type="dxa"/>
          </w:tcPr>
          <w:p w14:paraId="03FF641C" w14:textId="77777777" w:rsidR="005C5EB4" w:rsidRPr="00901A7B" w:rsidRDefault="005C5EB4" w:rsidP="000B410F">
            <w:pPr>
              <w:rPr>
                <w:rFonts w:ascii="Aptos" w:hAnsi="Aptos"/>
                <w:b w:val="0"/>
                <w:bCs w:val="0"/>
                <w:sz w:val="22"/>
              </w:rPr>
            </w:pPr>
            <w:proofErr w:type="spellStart"/>
            <w:r w:rsidRPr="00901A7B">
              <w:rPr>
                <w:rFonts w:ascii="Aptos" w:hAnsi="Aptos"/>
                <w:b w:val="0"/>
                <w:bCs w:val="0"/>
                <w:sz w:val="22"/>
              </w:rPr>
              <w:t>Blankley</w:t>
            </w:r>
            <w:proofErr w:type="spellEnd"/>
            <w:r w:rsidRPr="00901A7B">
              <w:rPr>
                <w:rFonts w:ascii="Aptos" w:hAnsi="Aptos"/>
                <w:b w:val="0"/>
                <w:bCs w:val="0"/>
                <w:sz w:val="22"/>
              </w:rPr>
              <w:t xml:space="preserve"> et al.</w:t>
            </w:r>
          </w:p>
          <w:p w14:paraId="77B042C9" w14:textId="77777777" w:rsidR="005C5EB4" w:rsidRPr="00901A7B" w:rsidRDefault="005C5EB4" w:rsidP="000B410F">
            <w:pPr>
              <w:rPr>
                <w:rFonts w:ascii="Aptos" w:hAnsi="Aptos"/>
                <w:b w:val="0"/>
                <w:bCs w:val="0"/>
                <w:sz w:val="22"/>
              </w:rPr>
            </w:pPr>
            <w:r w:rsidRPr="00901A7B">
              <w:rPr>
                <w:rFonts w:ascii="Aptos" w:hAnsi="Aptos"/>
                <w:b w:val="0"/>
                <w:bCs w:val="0"/>
                <w:sz w:val="22"/>
              </w:rPr>
              <w:t>2020</w:t>
            </w:r>
          </w:p>
          <w:p w14:paraId="3FFF1733" w14:textId="5A717F85" w:rsidR="005C5EB4" w:rsidRPr="00901A7B" w:rsidRDefault="005C5EB4" w:rsidP="000B410F">
            <w:pPr>
              <w:rPr>
                <w:rFonts w:ascii="Aptos" w:hAnsi="Aptos"/>
                <w:b w:val="0"/>
                <w:bCs w:val="0"/>
                <w:sz w:val="22"/>
              </w:rPr>
            </w:pPr>
            <w:r w:rsidRPr="00901A7B">
              <w:rPr>
                <w:rFonts w:ascii="Aptos" w:hAnsi="Aptos"/>
                <w:b w:val="0"/>
                <w:bCs w:val="0"/>
                <w:sz w:val="22"/>
              </w:rPr>
              <w:t>N</w:t>
            </w:r>
            <w:r w:rsidR="00910C23">
              <w:rPr>
                <w:rFonts w:ascii="Aptos" w:hAnsi="Aptos"/>
                <w:b w:val="0"/>
                <w:bCs w:val="0"/>
                <w:sz w:val="22"/>
              </w:rPr>
              <w:t>ew</w:t>
            </w:r>
            <w:r w:rsidRPr="00901A7B">
              <w:rPr>
                <w:rFonts w:ascii="Aptos" w:hAnsi="Aptos"/>
                <w:b w:val="0"/>
                <w:bCs w:val="0"/>
                <w:sz w:val="22"/>
              </w:rPr>
              <w:t xml:space="preserve"> Ze</w:t>
            </w:r>
            <w:r w:rsidR="00E42D27">
              <w:rPr>
                <w:rFonts w:ascii="Aptos" w:hAnsi="Aptos"/>
                <w:b w:val="0"/>
                <w:bCs w:val="0"/>
                <w:sz w:val="22"/>
              </w:rPr>
              <w:t>a</w:t>
            </w:r>
            <w:r w:rsidRPr="00901A7B">
              <w:rPr>
                <w:rFonts w:ascii="Aptos" w:hAnsi="Aptos"/>
                <w:b w:val="0"/>
                <w:bCs w:val="0"/>
                <w:sz w:val="22"/>
              </w:rPr>
              <w:t>land</w:t>
            </w:r>
          </w:p>
          <w:p w14:paraId="37D84495" w14:textId="7DFD28DE" w:rsidR="005C5EB4" w:rsidRPr="00901A7B" w:rsidRDefault="005C5EB4" w:rsidP="005C5EB4">
            <w:pPr>
              <w:rPr>
                <w:rFonts w:ascii="Aptos" w:hAnsi="Aptos"/>
                <w:sz w:val="22"/>
              </w:rPr>
            </w:pPr>
            <w:r w:rsidRPr="00901A7B">
              <w:rPr>
                <w:rFonts w:ascii="Aptos" w:hAnsi="Aptos"/>
                <w:b w:val="0"/>
                <w:bCs w:val="0"/>
                <w:noProof/>
                <w:sz w:val="22"/>
              </w:rPr>
              <w:t>[1]</w:t>
            </w:r>
          </w:p>
        </w:tc>
        <w:tc>
          <w:tcPr>
            <w:tcW w:w="2409" w:type="dxa"/>
          </w:tcPr>
          <w:p w14:paraId="7ECBCC3C" w14:textId="77777777" w:rsidR="005C5EB4" w:rsidRPr="00901A7B" w:rsidRDefault="005C5EB4" w:rsidP="000B410F">
            <w:pPr>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Segoe UI"/>
                <w:kern w:val="0"/>
                <w:sz w:val="22"/>
                <w:lang w:val="en-US" w:eastAsia="sv-SE"/>
                <w14:ligatures w14:val="none"/>
              </w:rPr>
            </w:pPr>
            <w:r w:rsidRPr="00901A7B">
              <w:rPr>
                <w:rFonts w:ascii="Aptos" w:eastAsia="Times New Roman" w:hAnsi="Aptos" w:cs="Segoe UI"/>
                <w:kern w:val="0"/>
                <w:sz w:val="22"/>
                <w:lang w:val="en-US" w:eastAsia="sv-SE"/>
                <w14:ligatures w14:val="none"/>
              </w:rPr>
              <w:t>This review aimed to investigate the barriers that prevent older men from engaging in physical activity, and what factors (or facilitators) encourage them to participate.</w:t>
            </w:r>
          </w:p>
        </w:tc>
        <w:tc>
          <w:tcPr>
            <w:tcW w:w="2127" w:type="dxa"/>
          </w:tcPr>
          <w:p w14:paraId="6B671E45" w14:textId="77777777" w:rsidR="005C5EB4" w:rsidRPr="00901A7B" w:rsidRDefault="005C5EB4" w:rsidP="000B410F">
            <w:pPr>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Segoe UI"/>
                <w:kern w:val="0"/>
                <w:sz w:val="22"/>
                <w:lang w:val="en-US" w:eastAsia="sv-SE"/>
                <w14:ligatures w14:val="none"/>
              </w:rPr>
            </w:pPr>
            <w:r w:rsidRPr="00901A7B">
              <w:rPr>
                <w:rFonts w:ascii="Aptos" w:eastAsia="Times New Roman" w:hAnsi="Aptos" w:cs="Segoe UI"/>
                <w:kern w:val="0"/>
                <w:sz w:val="22"/>
                <w:lang w:val="en-US" w:eastAsia="sv-SE"/>
                <w14:ligatures w14:val="none"/>
              </w:rPr>
              <w:t xml:space="preserve">Male participants </w:t>
            </w:r>
            <w:r w:rsidRPr="00901A7B">
              <w:rPr>
                <w:rFonts w:ascii="Aptos" w:eastAsia="Times New Roman" w:hAnsi="Aptos" w:cs="Segoe UI"/>
                <w:kern w:val="0"/>
                <w:sz w:val="22"/>
                <w:lang w:val="en-US" w:eastAsia="sv-SE"/>
                <w14:ligatures w14:val="none"/>
              </w:rPr>
              <w:cr/>
              <w:t>aged above 60 years old.</w:t>
            </w:r>
          </w:p>
          <w:p w14:paraId="6E011C4C" w14:textId="77777777" w:rsidR="005C5EB4" w:rsidRPr="00901A7B" w:rsidRDefault="005C5EB4" w:rsidP="000B410F">
            <w:pPr>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Segoe UI"/>
                <w:kern w:val="0"/>
                <w:sz w:val="22"/>
                <w:lang w:val="en-US" w:eastAsia="sv-SE"/>
                <w14:ligatures w14:val="none"/>
              </w:rPr>
            </w:pPr>
            <w:r w:rsidRPr="00901A7B">
              <w:rPr>
                <w:rFonts w:ascii="Aptos" w:eastAsia="Times New Roman" w:hAnsi="Aptos" w:cs="Segoe UI"/>
                <w:kern w:val="0"/>
                <w:sz w:val="22"/>
                <w:lang w:val="en-US" w:eastAsia="sv-SE"/>
                <w14:ligatures w14:val="none"/>
              </w:rPr>
              <w:t>Number of included primary studies: 7</w:t>
            </w:r>
          </w:p>
          <w:p w14:paraId="3BA78AB8" w14:textId="77777777" w:rsidR="005C5EB4" w:rsidRPr="00901A7B" w:rsidRDefault="005C5EB4" w:rsidP="000B410F">
            <w:pPr>
              <w:cnfStyle w:val="000000100000" w:firstRow="0" w:lastRow="0" w:firstColumn="0" w:lastColumn="0" w:oddVBand="0" w:evenVBand="0" w:oddHBand="1" w:evenHBand="0" w:firstRowFirstColumn="0" w:firstRowLastColumn="0" w:lastRowFirstColumn="0" w:lastRowLastColumn="0"/>
              <w:rPr>
                <w:rFonts w:ascii="Aptos" w:eastAsia="Times New Roman" w:hAnsi="Aptos" w:cs="Segoe UI"/>
                <w:kern w:val="0"/>
                <w:sz w:val="22"/>
                <w:lang w:val="en-US" w:eastAsia="sv-SE"/>
                <w14:ligatures w14:val="none"/>
              </w:rPr>
            </w:pPr>
          </w:p>
          <w:p w14:paraId="2581791B" w14:textId="77777777" w:rsidR="005C5EB4" w:rsidRPr="00901A7B" w:rsidRDefault="005C5EB4" w:rsidP="000B410F">
            <w:pPr>
              <w:cnfStyle w:val="000000100000" w:firstRow="0" w:lastRow="0" w:firstColumn="0" w:lastColumn="0" w:oddVBand="0" w:evenVBand="0" w:oddHBand="1" w:evenHBand="0" w:firstRowFirstColumn="0" w:firstRowLastColumn="0" w:lastRowFirstColumn="0" w:lastRowLastColumn="0"/>
              <w:rPr>
                <w:rFonts w:ascii="Aptos" w:eastAsia="Times New Roman" w:hAnsi="Aptos" w:cs="Segoe UI"/>
                <w:kern w:val="0"/>
                <w:sz w:val="22"/>
                <w:lang w:val="en-US" w:eastAsia="sv-SE"/>
                <w14:ligatures w14:val="none"/>
              </w:rPr>
            </w:pPr>
          </w:p>
          <w:p w14:paraId="730FC67D" w14:textId="77777777" w:rsidR="005C5EB4" w:rsidRPr="00901A7B" w:rsidRDefault="005C5EB4" w:rsidP="000B410F">
            <w:pPr>
              <w:cnfStyle w:val="000000100000" w:firstRow="0" w:lastRow="0" w:firstColumn="0" w:lastColumn="0" w:oddVBand="0" w:evenVBand="0" w:oddHBand="1" w:evenHBand="0" w:firstRowFirstColumn="0" w:firstRowLastColumn="0" w:lastRowFirstColumn="0" w:lastRowLastColumn="0"/>
              <w:rPr>
                <w:rFonts w:ascii="Aptos" w:eastAsia="Times New Roman" w:hAnsi="Aptos" w:cs="Segoe UI"/>
                <w:kern w:val="0"/>
                <w:sz w:val="22"/>
                <w:lang w:val="en-US" w:eastAsia="sv-SE"/>
                <w14:ligatures w14:val="none"/>
              </w:rPr>
            </w:pPr>
          </w:p>
          <w:p w14:paraId="3F3EA6C4" w14:textId="77777777" w:rsidR="005C5EB4" w:rsidRPr="00901A7B" w:rsidRDefault="005C5EB4" w:rsidP="000B410F">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p>
        </w:tc>
        <w:tc>
          <w:tcPr>
            <w:tcW w:w="5953" w:type="dxa"/>
          </w:tcPr>
          <w:p w14:paraId="619082B2" w14:textId="77777777" w:rsidR="005C5EB4" w:rsidRPr="00901A7B" w:rsidRDefault="005C5EB4" w:rsidP="000B410F">
            <w:pPr>
              <w:textAlignment w:val="baseline"/>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901A7B">
              <w:rPr>
                <w:rFonts w:ascii="Aptos" w:eastAsia="Times New Roman" w:hAnsi="Aptos" w:cs="Segoe UI"/>
                <w:kern w:val="0"/>
                <w:sz w:val="22"/>
                <w:lang w:val="en-US" w:eastAsia="sv-SE"/>
                <w14:ligatures w14:val="none"/>
              </w:rPr>
              <w:t>Men are more likely to engage in Physical Activities if it is meaningful, preserves or improves physical function, and strengthens their social relationships. These findings provide insights about strategies to engage older men in physical activity, and thus improve their quality of life.</w:t>
            </w:r>
          </w:p>
        </w:tc>
        <w:tc>
          <w:tcPr>
            <w:tcW w:w="1276" w:type="dxa"/>
          </w:tcPr>
          <w:p w14:paraId="7FF2CA2A" w14:textId="77777777" w:rsidR="005C5EB4" w:rsidRPr="00901A7B" w:rsidRDefault="005C5EB4" w:rsidP="000B410F">
            <w:pPr>
              <w:textAlignment w:val="baseline"/>
              <w:cnfStyle w:val="000000100000" w:firstRow="0" w:lastRow="0" w:firstColumn="0" w:lastColumn="0" w:oddVBand="0" w:evenVBand="0" w:oddHBand="1" w:evenHBand="0" w:firstRowFirstColumn="0" w:firstRowLastColumn="0" w:lastRowFirstColumn="0" w:lastRowLastColumn="0"/>
              <w:rPr>
                <w:rFonts w:ascii="Aptos" w:hAnsi="Aptos"/>
                <w:sz w:val="22"/>
              </w:rPr>
            </w:pPr>
            <w:r w:rsidRPr="00901A7B">
              <w:rPr>
                <w:rFonts w:ascii="Aptos" w:eastAsia="Times New Roman" w:hAnsi="Aptos" w:cs="Segoe UI"/>
                <w:kern w:val="0"/>
                <w:sz w:val="22"/>
                <w:lang w:val="en-US" w:eastAsia="sv-SE"/>
                <w14:ligatures w14:val="none"/>
              </w:rPr>
              <w:t>Moderate</w:t>
            </w:r>
          </w:p>
        </w:tc>
      </w:tr>
      <w:tr w:rsidR="005C5EB4" w:rsidRPr="00901A7B" w14:paraId="05062F67" w14:textId="77777777" w:rsidTr="000B410F">
        <w:trPr>
          <w:trHeight w:hRule="exact" w:val="2968"/>
        </w:trPr>
        <w:tc>
          <w:tcPr>
            <w:cnfStyle w:val="001000000000" w:firstRow="0" w:lastRow="0" w:firstColumn="1" w:lastColumn="0" w:oddVBand="0" w:evenVBand="0" w:oddHBand="0" w:evenHBand="0" w:firstRowFirstColumn="0" w:firstRowLastColumn="0" w:lastRowFirstColumn="0" w:lastRowLastColumn="0"/>
            <w:tcW w:w="2122" w:type="dxa"/>
          </w:tcPr>
          <w:p w14:paraId="3A474B21" w14:textId="77777777" w:rsidR="005C5EB4" w:rsidRPr="00901A7B" w:rsidRDefault="005C5EB4" w:rsidP="000B410F">
            <w:pPr>
              <w:textAlignment w:val="baseline"/>
              <w:rPr>
                <w:rFonts w:ascii="Aptos" w:eastAsia="Times New Roman" w:hAnsi="Aptos" w:cs="Segoe UI"/>
                <w:b w:val="0"/>
                <w:bCs w:val="0"/>
                <w:kern w:val="0"/>
                <w:sz w:val="22"/>
                <w:lang w:val="en-US" w:eastAsia="sv-SE"/>
                <w14:ligatures w14:val="none"/>
              </w:rPr>
            </w:pPr>
            <w:proofErr w:type="spellStart"/>
            <w:r w:rsidRPr="00901A7B">
              <w:rPr>
                <w:rFonts w:ascii="Aptos" w:eastAsia="Times New Roman" w:hAnsi="Aptos" w:cs="Segoe UI"/>
                <w:b w:val="0"/>
                <w:bCs w:val="0"/>
                <w:kern w:val="0"/>
                <w:sz w:val="22"/>
                <w:lang w:val="en-US" w:eastAsia="sv-SE"/>
                <w14:ligatures w14:val="none"/>
              </w:rPr>
              <w:t>Liljas</w:t>
            </w:r>
            <w:proofErr w:type="spellEnd"/>
            <w:r w:rsidRPr="00901A7B">
              <w:rPr>
                <w:rFonts w:ascii="Aptos" w:eastAsia="Times New Roman" w:hAnsi="Aptos" w:cs="Segoe UI"/>
                <w:b w:val="0"/>
                <w:bCs w:val="0"/>
                <w:kern w:val="0"/>
                <w:sz w:val="22"/>
                <w:lang w:val="en-US" w:eastAsia="sv-SE"/>
                <w14:ligatures w14:val="none"/>
              </w:rPr>
              <w:t xml:space="preserve"> et al.</w:t>
            </w:r>
          </w:p>
          <w:p w14:paraId="5C1A1025" w14:textId="77777777" w:rsidR="005C5EB4" w:rsidRPr="00901A7B" w:rsidRDefault="005C5EB4" w:rsidP="000B410F">
            <w:pPr>
              <w:textAlignment w:val="baseline"/>
              <w:rPr>
                <w:rFonts w:ascii="Aptos" w:eastAsia="Times New Roman" w:hAnsi="Aptos" w:cs="Segoe UI"/>
                <w:b w:val="0"/>
                <w:bCs w:val="0"/>
                <w:kern w:val="0"/>
                <w:sz w:val="22"/>
                <w:lang w:val="en-US" w:eastAsia="sv-SE"/>
                <w14:ligatures w14:val="none"/>
              </w:rPr>
            </w:pPr>
            <w:r w:rsidRPr="00901A7B">
              <w:rPr>
                <w:rFonts w:ascii="Aptos" w:eastAsia="Times New Roman" w:hAnsi="Aptos" w:cs="Segoe UI"/>
                <w:b w:val="0"/>
                <w:bCs w:val="0"/>
                <w:kern w:val="0"/>
                <w:sz w:val="22"/>
                <w:lang w:val="en-US" w:eastAsia="sv-SE"/>
                <w14:ligatures w14:val="none"/>
              </w:rPr>
              <w:t>2017</w:t>
            </w:r>
          </w:p>
          <w:p w14:paraId="6EEA4F81" w14:textId="77777777" w:rsidR="005C5EB4" w:rsidRPr="00901A7B" w:rsidRDefault="005C5EB4" w:rsidP="000B410F">
            <w:pPr>
              <w:textAlignment w:val="baseline"/>
              <w:rPr>
                <w:rFonts w:ascii="Aptos" w:eastAsia="Times New Roman" w:hAnsi="Aptos" w:cs="Segoe UI"/>
                <w:b w:val="0"/>
                <w:bCs w:val="0"/>
                <w:kern w:val="0"/>
                <w:sz w:val="22"/>
                <w:lang w:val="en-US" w:eastAsia="sv-SE"/>
                <w14:ligatures w14:val="none"/>
              </w:rPr>
            </w:pPr>
            <w:r w:rsidRPr="00901A7B">
              <w:rPr>
                <w:rFonts w:ascii="Aptos" w:eastAsia="Times New Roman" w:hAnsi="Aptos" w:cs="Segoe UI"/>
                <w:b w:val="0"/>
                <w:bCs w:val="0"/>
                <w:kern w:val="0"/>
                <w:sz w:val="22"/>
                <w:lang w:val="en-US" w:eastAsia="sv-SE"/>
                <w14:ligatures w14:val="none"/>
              </w:rPr>
              <w:t>UK</w:t>
            </w:r>
          </w:p>
          <w:p w14:paraId="2DF8EF91" w14:textId="77777777" w:rsidR="005C5EB4" w:rsidRPr="00901A7B" w:rsidRDefault="005C5EB4" w:rsidP="000B410F">
            <w:pPr>
              <w:textAlignment w:val="baseline"/>
              <w:rPr>
                <w:rFonts w:ascii="Aptos" w:hAnsi="Aptos"/>
                <w:sz w:val="22"/>
              </w:rPr>
            </w:pPr>
            <w:r w:rsidRPr="00901A7B">
              <w:rPr>
                <w:rFonts w:ascii="Aptos" w:eastAsia="Times New Roman" w:hAnsi="Aptos" w:cs="Segoe UI"/>
                <w:b w:val="0"/>
                <w:bCs w:val="0"/>
                <w:kern w:val="0"/>
                <w:sz w:val="22"/>
                <w:lang w:val="en-US" w:eastAsia="sv-SE"/>
                <w14:ligatures w14:val="none"/>
              </w:rPr>
              <w:t>[2]</w:t>
            </w:r>
          </w:p>
        </w:tc>
        <w:tc>
          <w:tcPr>
            <w:tcW w:w="2409" w:type="dxa"/>
          </w:tcPr>
          <w:p w14:paraId="420B5023" w14:textId="77777777" w:rsidR="005C5EB4" w:rsidRPr="00901A7B" w:rsidRDefault="005C5EB4" w:rsidP="000B410F">
            <w:pPr>
              <w:textAlignment w:val="baseline"/>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901A7B">
              <w:rPr>
                <w:rFonts w:ascii="Aptos" w:eastAsia="Times New Roman" w:hAnsi="Aptos" w:cs="Segoe UI"/>
                <w:kern w:val="0"/>
                <w:sz w:val="22"/>
                <w:lang w:val="en-US" w:eastAsia="sv-SE"/>
                <w14:ligatures w14:val="none"/>
              </w:rPr>
              <w:t>This systematic review aimed to identify facilitators, barriers and strategies for engaging ‘hard to reach’ older people in research on health promotion</w:t>
            </w:r>
          </w:p>
        </w:tc>
        <w:tc>
          <w:tcPr>
            <w:tcW w:w="2127" w:type="dxa"/>
          </w:tcPr>
          <w:p w14:paraId="470E2CF9" w14:textId="77777777" w:rsidR="005C5EB4" w:rsidRPr="00901A7B" w:rsidRDefault="005C5EB4" w:rsidP="000B410F">
            <w:pPr>
              <w:textAlignment w:val="baseline"/>
              <w:cnfStyle w:val="000000000000" w:firstRow="0" w:lastRow="0" w:firstColumn="0" w:lastColumn="0" w:oddVBand="0" w:evenVBand="0" w:oddHBand="0" w:evenHBand="0" w:firstRowFirstColumn="0" w:firstRowLastColumn="0" w:lastRowFirstColumn="0" w:lastRowLastColumn="0"/>
              <w:rPr>
                <w:rFonts w:ascii="Aptos" w:eastAsia="Times New Roman" w:hAnsi="Aptos" w:cs="Segoe UI"/>
                <w:kern w:val="0"/>
                <w:sz w:val="22"/>
                <w:lang w:val="en-US" w:eastAsia="sv-SE"/>
                <w14:ligatures w14:val="none"/>
              </w:rPr>
            </w:pPr>
            <w:r w:rsidRPr="00901A7B">
              <w:rPr>
                <w:rFonts w:ascii="Aptos" w:eastAsia="Times New Roman" w:hAnsi="Aptos" w:cs="Segoe UI"/>
                <w:kern w:val="0"/>
                <w:sz w:val="22"/>
                <w:lang w:val="en-US" w:eastAsia="sv-SE"/>
                <w14:ligatures w14:val="none"/>
              </w:rPr>
              <w:t>The oldest old (≥80 years), older people from black and minority ethnic groups (BME) and older people living in deprived areas.</w:t>
            </w:r>
          </w:p>
          <w:p w14:paraId="05E039A2" w14:textId="77777777" w:rsidR="005C5EB4" w:rsidRPr="00901A7B" w:rsidRDefault="005C5EB4" w:rsidP="000B410F">
            <w:pPr>
              <w:textAlignment w:val="baseline"/>
              <w:cnfStyle w:val="000000000000" w:firstRow="0" w:lastRow="0" w:firstColumn="0" w:lastColumn="0" w:oddVBand="0" w:evenVBand="0" w:oddHBand="0" w:evenHBand="0" w:firstRowFirstColumn="0" w:firstRowLastColumn="0" w:lastRowFirstColumn="0" w:lastRowLastColumn="0"/>
              <w:rPr>
                <w:rFonts w:ascii="Aptos" w:hAnsi="Aptos"/>
                <w:sz w:val="22"/>
                <w:lang w:val="en-US"/>
              </w:rPr>
            </w:pPr>
            <w:r w:rsidRPr="00901A7B">
              <w:rPr>
                <w:rFonts w:ascii="Aptos" w:eastAsia="Times New Roman" w:hAnsi="Aptos" w:cs="Segoe UI"/>
                <w:kern w:val="0"/>
                <w:sz w:val="22"/>
                <w:lang w:val="en-US" w:eastAsia="sv-SE"/>
                <w14:ligatures w14:val="none"/>
              </w:rPr>
              <w:t>Number of included primary studies: 23</w:t>
            </w:r>
          </w:p>
        </w:tc>
        <w:tc>
          <w:tcPr>
            <w:tcW w:w="5953" w:type="dxa"/>
          </w:tcPr>
          <w:p w14:paraId="060FA1EB" w14:textId="4BAE5429" w:rsidR="005C5EB4" w:rsidRPr="00901A7B" w:rsidRDefault="005C5EB4" w:rsidP="000B410F">
            <w:pPr>
              <w:textAlignment w:val="baseline"/>
              <w:cnfStyle w:val="000000000000" w:firstRow="0" w:lastRow="0" w:firstColumn="0" w:lastColumn="0" w:oddVBand="0" w:evenVBand="0" w:oddHBand="0" w:evenHBand="0" w:firstRowFirstColumn="0" w:firstRowLastColumn="0" w:lastRowFirstColumn="0" w:lastRowLastColumn="0"/>
              <w:rPr>
                <w:rFonts w:ascii="Aptos" w:eastAsia="Times New Roman" w:hAnsi="Aptos" w:cs="Segoe UI"/>
                <w:kern w:val="0"/>
                <w:sz w:val="22"/>
                <w:lang w:val="en-US" w:eastAsia="sv-SE"/>
                <w14:ligatures w14:val="none"/>
              </w:rPr>
            </w:pPr>
            <w:r w:rsidRPr="00901A7B">
              <w:rPr>
                <w:rFonts w:ascii="Aptos" w:eastAsia="Times New Roman" w:hAnsi="Aptos" w:cs="Segoe UI"/>
                <w:kern w:val="0"/>
                <w:sz w:val="22"/>
                <w:lang w:val="en-US" w:eastAsia="sv-SE"/>
                <w14:ligatures w14:val="none"/>
              </w:rPr>
              <w:t xml:space="preserve">This review identified facilitators, barriers and strategies for engaging ‘hard to reach’ older people in health promotion but research has been mainly descriptive and there was no </w:t>
            </w:r>
            <w:r w:rsidR="002A5F5A" w:rsidRPr="00901A7B">
              <w:rPr>
                <w:rFonts w:ascii="Aptos" w:eastAsia="Times New Roman" w:hAnsi="Aptos" w:cs="Segoe UI"/>
                <w:kern w:val="0"/>
                <w:sz w:val="22"/>
                <w:lang w:val="en-US" w:eastAsia="sv-SE"/>
                <w14:ligatures w14:val="none"/>
              </w:rPr>
              <w:t>high-quality</w:t>
            </w:r>
            <w:r w:rsidRPr="00901A7B">
              <w:rPr>
                <w:rFonts w:ascii="Aptos" w:eastAsia="Times New Roman" w:hAnsi="Aptos" w:cs="Segoe UI"/>
                <w:kern w:val="0"/>
                <w:sz w:val="22"/>
                <w:lang w:val="en-US" w:eastAsia="sv-SE"/>
                <w14:ligatures w14:val="none"/>
              </w:rPr>
              <w:t xml:space="preserve"> evidence on the effectiveness of different approaches</w:t>
            </w:r>
          </w:p>
        </w:tc>
        <w:tc>
          <w:tcPr>
            <w:tcW w:w="1276" w:type="dxa"/>
          </w:tcPr>
          <w:p w14:paraId="20C37257" w14:textId="77777777" w:rsidR="005C5EB4" w:rsidRPr="00901A7B" w:rsidRDefault="005C5EB4" w:rsidP="000B410F">
            <w:pPr>
              <w:textAlignment w:val="baseline"/>
              <w:cnfStyle w:val="000000000000" w:firstRow="0" w:lastRow="0" w:firstColumn="0" w:lastColumn="0" w:oddVBand="0" w:evenVBand="0" w:oddHBand="0" w:evenHBand="0" w:firstRowFirstColumn="0" w:firstRowLastColumn="0" w:lastRowFirstColumn="0" w:lastRowLastColumn="0"/>
              <w:rPr>
                <w:rFonts w:ascii="Aptos" w:hAnsi="Aptos"/>
                <w:sz w:val="22"/>
              </w:rPr>
            </w:pPr>
            <w:r w:rsidRPr="00901A7B">
              <w:rPr>
                <w:rFonts w:ascii="Aptos" w:eastAsia="Times New Roman" w:hAnsi="Aptos" w:cs="Segoe UI"/>
                <w:kern w:val="0"/>
                <w:sz w:val="22"/>
                <w:lang w:val="en-US" w:eastAsia="sv-SE"/>
                <w14:ligatures w14:val="none"/>
              </w:rPr>
              <w:t>Moderate</w:t>
            </w:r>
          </w:p>
        </w:tc>
      </w:tr>
      <w:tr w:rsidR="005C5EB4" w:rsidRPr="00901A7B" w14:paraId="17AD7782" w14:textId="77777777" w:rsidTr="000B410F">
        <w:trPr>
          <w:cnfStyle w:val="000000100000" w:firstRow="0" w:lastRow="0" w:firstColumn="0" w:lastColumn="0" w:oddVBand="0" w:evenVBand="0" w:oddHBand="1" w:evenHBand="0" w:firstRowFirstColumn="0" w:firstRowLastColumn="0" w:lastRowFirstColumn="0" w:lastRowLastColumn="0"/>
          <w:trHeight w:hRule="exact" w:val="3545"/>
        </w:trPr>
        <w:tc>
          <w:tcPr>
            <w:cnfStyle w:val="001000000000" w:firstRow="0" w:lastRow="0" w:firstColumn="1" w:lastColumn="0" w:oddVBand="0" w:evenVBand="0" w:oddHBand="0" w:evenHBand="0" w:firstRowFirstColumn="0" w:firstRowLastColumn="0" w:lastRowFirstColumn="0" w:lastRowLastColumn="0"/>
            <w:tcW w:w="2122" w:type="dxa"/>
          </w:tcPr>
          <w:p w14:paraId="595533F2" w14:textId="77777777" w:rsidR="005C5EB4" w:rsidRPr="00901A7B" w:rsidRDefault="005C5EB4" w:rsidP="000B410F">
            <w:pPr>
              <w:textAlignment w:val="baseline"/>
              <w:rPr>
                <w:rFonts w:ascii="Aptos" w:eastAsia="Times New Roman" w:hAnsi="Aptos" w:cs="Segoe UI"/>
                <w:b w:val="0"/>
                <w:bCs w:val="0"/>
                <w:kern w:val="0"/>
                <w:sz w:val="22"/>
                <w:lang w:val="en-US" w:eastAsia="sv-SE"/>
                <w14:ligatures w14:val="none"/>
              </w:rPr>
            </w:pPr>
            <w:r w:rsidRPr="00901A7B">
              <w:rPr>
                <w:rFonts w:ascii="Aptos" w:eastAsia="Times New Roman" w:hAnsi="Aptos" w:cs="Segoe UI"/>
                <w:b w:val="0"/>
                <w:bCs w:val="0"/>
                <w:kern w:val="0"/>
                <w:sz w:val="22"/>
                <w:lang w:val="en-US" w:eastAsia="sv-SE"/>
                <w14:ligatures w14:val="none"/>
              </w:rPr>
              <w:lastRenderedPageBreak/>
              <w:t>Ong et al.</w:t>
            </w:r>
          </w:p>
          <w:p w14:paraId="34B6A73A" w14:textId="77777777" w:rsidR="005C5EB4" w:rsidRPr="00901A7B" w:rsidRDefault="005C5EB4" w:rsidP="000B410F">
            <w:pPr>
              <w:textAlignment w:val="baseline"/>
              <w:rPr>
                <w:rFonts w:ascii="Aptos" w:eastAsia="Times New Roman" w:hAnsi="Aptos" w:cs="Segoe UI"/>
                <w:b w:val="0"/>
                <w:bCs w:val="0"/>
                <w:kern w:val="0"/>
                <w:sz w:val="22"/>
                <w:lang w:val="en-US" w:eastAsia="sv-SE"/>
                <w14:ligatures w14:val="none"/>
              </w:rPr>
            </w:pPr>
            <w:r w:rsidRPr="00901A7B">
              <w:rPr>
                <w:rFonts w:ascii="Aptos" w:eastAsia="Times New Roman" w:hAnsi="Aptos" w:cs="Segoe UI"/>
                <w:b w:val="0"/>
                <w:bCs w:val="0"/>
                <w:kern w:val="0"/>
                <w:sz w:val="22"/>
                <w:lang w:val="en-US" w:eastAsia="sv-SE"/>
                <w14:ligatures w14:val="none"/>
              </w:rPr>
              <w:t>2024 </w:t>
            </w:r>
          </w:p>
          <w:p w14:paraId="5E3A2D84" w14:textId="77777777" w:rsidR="005C5EB4" w:rsidRPr="00901A7B" w:rsidRDefault="005C5EB4" w:rsidP="000B410F">
            <w:pPr>
              <w:textAlignment w:val="baseline"/>
              <w:rPr>
                <w:rFonts w:ascii="Aptos" w:eastAsia="Times New Roman" w:hAnsi="Aptos" w:cs="Segoe UI"/>
                <w:b w:val="0"/>
                <w:bCs w:val="0"/>
                <w:kern w:val="0"/>
                <w:sz w:val="22"/>
                <w:lang w:val="en-US" w:eastAsia="sv-SE"/>
                <w14:ligatures w14:val="none"/>
              </w:rPr>
            </w:pPr>
            <w:r w:rsidRPr="00901A7B">
              <w:rPr>
                <w:rFonts w:ascii="Aptos" w:eastAsia="Times New Roman" w:hAnsi="Aptos" w:cs="Segoe UI"/>
                <w:b w:val="0"/>
                <w:bCs w:val="0"/>
                <w:kern w:val="0"/>
                <w:sz w:val="22"/>
                <w:lang w:val="en-US" w:eastAsia="sv-SE"/>
                <w14:ligatures w14:val="none"/>
              </w:rPr>
              <w:t>Singapore </w:t>
            </w:r>
          </w:p>
          <w:p w14:paraId="78F10BCC" w14:textId="77777777" w:rsidR="005C5EB4" w:rsidRPr="00901A7B" w:rsidRDefault="005C5EB4" w:rsidP="000B410F">
            <w:pPr>
              <w:textAlignment w:val="baseline"/>
              <w:rPr>
                <w:rFonts w:ascii="Aptos" w:eastAsia="Times New Roman" w:hAnsi="Aptos" w:cs="Segoe UI"/>
                <w:b w:val="0"/>
                <w:bCs w:val="0"/>
                <w:kern w:val="0"/>
                <w:sz w:val="22"/>
                <w:lang w:val="en-US" w:eastAsia="sv-SE"/>
                <w14:ligatures w14:val="none"/>
              </w:rPr>
            </w:pPr>
            <w:r w:rsidRPr="00901A7B">
              <w:rPr>
                <w:rFonts w:ascii="Aptos" w:eastAsia="Times New Roman" w:hAnsi="Aptos" w:cs="Segoe UI"/>
                <w:b w:val="0"/>
                <w:bCs w:val="0"/>
                <w:kern w:val="0"/>
                <w:sz w:val="22"/>
                <w:lang w:val="en-US" w:eastAsia="sv-SE"/>
                <w14:ligatures w14:val="none"/>
              </w:rPr>
              <w:t> [3]</w:t>
            </w:r>
          </w:p>
          <w:p w14:paraId="525E920F" w14:textId="77777777" w:rsidR="005C5EB4" w:rsidRPr="00901A7B" w:rsidRDefault="005C5EB4" w:rsidP="000B410F">
            <w:pPr>
              <w:rPr>
                <w:rFonts w:ascii="Aptos" w:hAnsi="Aptos"/>
                <w:sz w:val="22"/>
              </w:rPr>
            </w:pPr>
          </w:p>
          <w:p w14:paraId="11163A85" w14:textId="77777777" w:rsidR="005C5EB4" w:rsidRPr="00901A7B" w:rsidRDefault="005C5EB4" w:rsidP="000B410F">
            <w:pPr>
              <w:rPr>
                <w:rFonts w:ascii="Aptos" w:hAnsi="Aptos"/>
                <w:sz w:val="22"/>
              </w:rPr>
            </w:pPr>
          </w:p>
          <w:p w14:paraId="1CCFB777" w14:textId="77777777" w:rsidR="005C5EB4" w:rsidRPr="00901A7B" w:rsidRDefault="005C5EB4" w:rsidP="000B410F">
            <w:pPr>
              <w:rPr>
                <w:rFonts w:ascii="Aptos" w:hAnsi="Aptos"/>
                <w:sz w:val="22"/>
              </w:rPr>
            </w:pPr>
          </w:p>
          <w:p w14:paraId="67BE1E14" w14:textId="77777777" w:rsidR="005C5EB4" w:rsidRPr="00901A7B" w:rsidRDefault="005C5EB4" w:rsidP="000B410F">
            <w:pPr>
              <w:rPr>
                <w:rFonts w:ascii="Aptos" w:hAnsi="Aptos"/>
                <w:sz w:val="22"/>
              </w:rPr>
            </w:pPr>
          </w:p>
        </w:tc>
        <w:tc>
          <w:tcPr>
            <w:tcW w:w="2409" w:type="dxa"/>
          </w:tcPr>
          <w:p w14:paraId="0394DAE8" w14:textId="77777777" w:rsidR="005C5EB4" w:rsidRPr="00901A7B" w:rsidRDefault="005C5EB4" w:rsidP="000B410F">
            <w:pPr>
              <w:textAlignment w:val="baseline"/>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901A7B">
              <w:rPr>
                <w:rFonts w:ascii="Aptos" w:eastAsia="Times New Roman" w:hAnsi="Aptos" w:cs="Segoe UI"/>
                <w:kern w:val="0"/>
                <w:sz w:val="22"/>
                <w:lang w:val="en-US" w:eastAsia="sv-SE"/>
                <w14:ligatures w14:val="none"/>
              </w:rPr>
              <w:t>This study aimed to examine factors influencing social activities of older women and men. </w:t>
            </w:r>
          </w:p>
        </w:tc>
        <w:tc>
          <w:tcPr>
            <w:tcW w:w="2127" w:type="dxa"/>
          </w:tcPr>
          <w:p w14:paraId="009EB081" w14:textId="77777777" w:rsidR="005C5EB4" w:rsidRPr="00901A7B" w:rsidRDefault="005C5EB4" w:rsidP="000B410F">
            <w:pPr>
              <w:textAlignment w:val="baseline"/>
              <w:cnfStyle w:val="000000100000" w:firstRow="0" w:lastRow="0" w:firstColumn="0" w:lastColumn="0" w:oddVBand="0" w:evenVBand="0" w:oddHBand="1" w:evenHBand="0" w:firstRowFirstColumn="0" w:firstRowLastColumn="0" w:lastRowFirstColumn="0" w:lastRowLastColumn="0"/>
              <w:rPr>
                <w:rFonts w:ascii="Aptos" w:eastAsia="Times New Roman" w:hAnsi="Aptos" w:cs="Segoe UI"/>
                <w:kern w:val="0"/>
                <w:sz w:val="22"/>
                <w:lang w:val="en-US" w:eastAsia="sv-SE"/>
                <w14:ligatures w14:val="none"/>
              </w:rPr>
            </w:pPr>
            <w:r w:rsidRPr="00901A7B">
              <w:rPr>
                <w:rFonts w:ascii="Aptos" w:eastAsia="Times New Roman" w:hAnsi="Aptos" w:cs="Segoe UI"/>
                <w:kern w:val="0"/>
                <w:sz w:val="22"/>
                <w:lang w:val="en-US" w:eastAsia="sv-SE"/>
                <w14:ligatures w14:val="none"/>
              </w:rPr>
              <w:t>Older adults aged 60 and older who were community-dwelling or living in residential settings. </w:t>
            </w:r>
          </w:p>
          <w:p w14:paraId="62E5FD82" w14:textId="77777777" w:rsidR="005C5EB4" w:rsidRPr="00901A7B" w:rsidRDefault="005C5EB4" w:rsidP="000B410F">
            <w:pPr>
              <w:textAlignment w:val="baseline"/>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901A7B">
              <w:rPr>
                <w:rFonts w:ascii="Aptos" w:eastAsia="Times New Roman" w:hAnsi="Aptos" w:cs="Segoe UI"/>
                <w:kern w:val="0"/>
                <w:sz w:val="22"/>
                <w:lang w:val="en-US" w:eastAsia="sv-SE"/>
                <w14:ligatures w14:val="none"/>
              </w:rPr>
              <w:t>Number of included primary studies: 49</w:t>
            </w:r>
          </w:p>
        </w:tc>
        <w:tc>
          <w:tcPr>
            <w:tcW w:w="5953" w:type="dxa"/>
          </w:tcPr>
          <w:p w14:paraId="2C3B4A5B" w14:textId="6EC02D57" w:rsidR="005C5EB4" w:rsidRPr="00901A7B" w:rsidRDefault="005C5EB4" w:rsidP="000B410F">
            <w:pPr>
              <w:cnfStyle w:val="000000100000" w:firstRow="0" w:lastRow="0" w:firstColumn="0" w:lastColumn="0" w:oddVBand="0" w:evenVBand="0" w:oddHBand="1" w:evenHBand="0" w:firstRowFirstColumn="0" w:firstRowLastColumn="0" w:lastRowFirstColumn="0" w:lastRowLastColumn="0"/>
              <w:rPr>
                <w:rFonts w:ascii="Aptos" w:hAnsi="Aptos"/>
                <w:sz w:val="22"/>
                <w:lang w:val="en-US"/>
              </w:rPr>
            </w:pPr>
            <w:r w:rsidRPr="00901A7B">
              <w:rPr>
                <w:rFonts w:ascii="Aptos" w:eastAsia="Times New Roman" w:hAnsi="Aptos" w:cs="Segoe UI"/>
                <w:kern w:val="0"/>
                <w:sz w:val="22"/>
                <w:lang w:val="en-US" w:eastAsia="sv-SE"/>
                <w14:ligatures w14:val="none"/>
              </w:rPr>
              <w:t>Special attention is needed among community care providers and healthcare professionals to co-design, implement or prescribe a combination of sex and gender-specific and neutral activities that interest both older women and men. Intersectoral collaborative actions, including public health advocates, gerontologists, policymakers, and land use planners, are needed to unify efforts to foster social inclusion by creating an age-friendly and sustainable healthy environment. More longitudinal studies are required to better understand social participation trajectories from a sex and gender perspective and identify factors influencing it.</w:t>
            </w:r>
          </w:p>
        </w:tc>
        <w:tc>
          <w:tcPr>
            <w:tcW w:w="1276" w:type="dxa"/>
          </w:tcPr>
          <w:p w14:paraId="79A05A19" w14:textId="77777777" w:rsidR="005C5EB4" w:rsidRPr="00901A7B" w:rsidRDefault="005C5EB4" w:rsidP="000B410F">
            <w:pPr>
              <w:cnfStyle w:val="000000100000" w:firstRow="0" w:lastRow="0" w:firstColumn="0" w:lastColumn="0" w:oddVBand="0" w:evenVBand="0" w:oddHBand="1" w:evenHBand="0" w:firstRowFirstColumn="0" w:firstRowLastColumn="0" w:lastRowFirstColumn="0" w:lastRowLastColumn="0"/>
              <w:rPr>
                <w:rFonts w:ascii="Aptos" w:eastAsia="Times New Roman" w:hAnsi="Aptos" w:cs="Segoe UI"/>
                <w:kern w:val="0"/>
                <w:sz w:val="22"/>
                <w:lang w:val="en-US" w:eastAsia="sv-SE"/>
                <w14:ligatures w14:val="none"/>
              </w:rPr>
            </w:pPr>
            <w:r w:rsidRPr="00901A7B">
              <w:rPr>
                <w:rFonts w:ascii="Aptos" w:eastAsia="Times New Roman" w:hAnsi="Aptos" w:cs="Segoe UI"/>
                <w:kern w:val="0"/>
                <w:sz w:val="22"/>
                <w:lang w:val="en-US" w:eastAsia="sv-SE"/>
                <w14:ligatures w14:val="none"/>
              </w:rPr>
              <w:t>Moderate</w:t>
            </w:r>
          </w:p>
        </w:tc>
      </w:tr>
    </w:tbl>
    <w:p w14:paraId="74CE649B" w14:textId="77777777" w:rsidR="005C5EB4" w:rsidRDefault="005C5EB4" w:rsidP="005C5EB4"/>
    <w:bookmarkEnd w:id="0"/>
    <w:p w14:paraId="2CF678DC" w14:textId="77777777" w:rsidR="005C5EB4" w:rsidRPr="005109E6" w:rsidRDefault="005C5EB4" w:rsidP="005C5EB4">
      <w:pPr>
        <w:pStyle w:val="Rubrik2"/>
      </w:pPr>
      <w:r w:rsidRPr="005109E6">
        <w:t>Referenser</w:t>
      </w:r>
    </w:p>
    <w:p w14:paraId="06874ECA" w14:textId="77777777" w:rsidR="005C5EB4" w:rsidRDefault="005C5EB4" w:rsidP="005C5EB4">
      <w:pPr>
        <w:rPr>
          <w:sz w:val="2"/>
          <w:szCs w:val="2"/>
        </w:rPr>
      </w:pPr>
    </w:p>
    <w:p w14:paraId="0FE65E12" w14:textId="77777777" w:rsidR="005C5EB4" w:rsidRPr="00BA3652" w:rsidRDefault="005C5EB4" w:rsidP="005C5EB4">
      <w:pPr>
        <w:pStyle w:val="EndNoteBibliography"/>
        <w:spacing w:after="0"/>
        <w:ind w:left="720" w:hanging="720"/>
        <w:rPr>
          <w:rFonts w:ascii="Aptos Narrow" w:hAnsi="Aptos Narrow"/>
          <w:color w:val="auto"/>
        </w:rPr>
      </w:pPr>
      <w:r w:rsidRPr="00901A7B">
        <w:rPr>
          <w:rFonts w:ascii="Aptos Narrow" w:hAnsi="Aptos Narrow"/>
          <w:color w:val="auto"/>
        </w:rPr>
        <w:t>1.</w:t>
      </w:r>
      <w:r w:rsidRPr="00BA3652">
        <w:rPr>
          <w:rFonts w:ascii="Aptos Narrow" w:hAnsi="Aptos Narrow"/>
        </w:rPr>
        <w:tab/>
      </w:r>
      <w:r w:rsidRPr="00BA3652">
        <w:rPr>
          <w:rFonts w:ascii="Aptos Narrow" w:hAnsi="Aptos Narrow"/>
          <w:color w:val="auto"/>
        </w:rPr>
        <w:t>Blankley J, Victoria FMG, Patrick M, Eunice SL, Yimeng WC, Allyson C, et al. What do men want? A review of the barriers and motivators that engage older men in physical activity. Physical Therapy Reviews. 2020;25(5-6):435-48. Available from: https://doi.org/10.1080/10833196.2020.1843351</w:t>
      </w:r>
    </w:p>
    <w:p w14:paraId="13B3A558" w14:textId="77777777" w:rsidR="005C5EB4" w:rsidRPr="00BA3652" w:rsidRDefault="005C5EB4" w:rsidP="005C5EB4">
      <w:pPr>
        <w:pStyle w:val="EndNoteBibliography"/>
        <w:spacing w:after="0"/>
        <w:ind w:left="720" w:hanging="720"/>
        <w:rPr>
          <w:rFonts w:ascii="Aptos Narrow" w:hAnsi="Aptos Narrow"/>
          <w:color w:val="auto"/>
        </w:rPr>
      </w:pPr>
      <w:r w:rsidRPr="00BA3652">
        <w:rPr>
          <w:rFonts w:ascii="Aptos Narrow" w:hAnsi="Aptos Narrow"/>
          <w:color w:val="auto"/>
        </w:rPr>
        <w:t>2.</w:t>
      </w:r>
      <w:r w:rsidRPr="00BA3652">
        <w:rPr>
          <w:rFonts w:ascii="Aptos Narrow" w:hAnsi="Aptos Narrow"/>
          <w:color w:val="auto"/>
        </w:rPr>
        <w:tab/>
        <w:t>Liljas AEM, Walters K, Jovicic A, Iliffe S, Manthorpe J, Goodman C, et al. Strategies to improve engagement of ‘hard to reach’ older people in research on health promotion: a systematic review. BMC Public Health. 2017;17(1). Available from: https://doi.org/10.1186/s12889-017-4241-8</w:t>
      </w:r>
    </w:p>
    <w:p w14:paraId="57055594" w14:textId="486AD744" w:rsidR="003D0238" w:rsidRPr="003D0238" w:rsidRDefault="005C5EB4" w:rsidP="00BA3652">
      <w:pPr>
        <w:pStyle w:val="EndNoteBibliography"/>
        <w:ind w:left="720" w:hanging="720"/>
        <w:rPr>
          <w:sz w:val="2"/>
          <w:szCs w:val="2"/>
        </w:rPr>
      </w:pPr>
      <w:r w:rsidRPr="00BA3652">
        <w:rPr>
          <w:rFonts w:ascii="Aptos Narrow" w:hAnsi="Aptos Narrow"/>
          <w:color w:val="auto"/>
        </w:rPr>
        <w:t>3.</w:t>
      </w:r>
      <w:r w:rsidRPr="00BA3652">
        <w:rPr>
          <w:rFonts w:ascii="Aptos Narrow" w:hAnsi="Aptos Narrow"/>
          <w:color w:val="auto"/>
        </w:rPr>
        <w:tab/>
        <w:t>Ong CH, Pham BL, Levasseur M, Tan GR, Seah B. Sex and gender differences in social participation among community-dwelling older adults: a systematic review. Front. 2024;12:1335692. Available from: https://doi.org/10.3389/fpubh.2024.1335692</w:t>
      </w:r>
    </w:p>
    <w:p w14:paraId="3A6B5B0A" w14:textId="77777777" w:rsidR="003D0238" w:rsidRPr="003D0238" w:rsidRDefault="003D0238" w:rsidP="003D0238">
      <w:pPr>
        <w:rPr>
          <w:sz w:val="2"/>
          <w:szCs w:val="2"/>
        </w:rPr>
      </w:pPr>
    </w:p>
    <w:p w14:paraId="43906BC5" w14:textId="77777777" w:rsidR="003D0238" w:rsidRDefault="003D0238" w:rsidP="003D0238">
      <w:pPr>
        <w:rPr>
          <w:lang w:eastAsia="sv-SE"/>
        </w:rPr>
      </w:pPr>
    </w:p>
    <w:p w14:paraId="168335F1" w14:textId="77777777" w:rsidR="003D0238" w:rsidRPr="003D0238" w:rsidRDefault="003D0238" w:rsidP="003D0238">
      <w:pPr>
        <w:tabs>
          <w:tab w:val="left" w:pos="8028"/>
        </w:tabs>
        <w:rPr>
          <w:sz w:val="2"/>
          <w:szCs w:val="2"/>
        </w:rPr>
      </w:pPr>
      <w:r>
        <w:rPr>
          <w:sz w:val="2"/>
          <w:szCs w:val="2"/>
        </w:rPr>
        <w:tab/>
      </w:r>
    </w:p>
    <w:p w14:paraId="42B91C11" w14:textId="77777777" w:rsidR="003D0238" w:rsidRPr="003D0238" w:rsidRDefault="003D0238" w:rsidP="003D0238">
      <w:pPr>
        <w:rPr>
          <w:sz w:val="2"/>
          <w:szCs w:val="2"/>
        </w:rPr>
      </w:pPr>
    </w:p>
    <w:sectPr w:rsidR="003D0238" w:rsidRPr="003D0238" w:rsidSect="005C5EB4">
      <w:headerReference w:type="default" r:id="rId11"/>
      <w:headerReference w:type="first" r:id="rId12"/>
      <w:footerReference w:type="first" r:id="rId13"/>
      <w:pgSz w:w="16838" w:h="11906" w:orient="landscape"/>
      <w:pgMar w:top="1417" w:right="1985"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1295" w14:textId="77777777" w:rsidR="006F6E11" w:rsidRDefault="006F6E11" w:rsidP="009164B5">
      <w:pPr>
        <w:spacing w:after="0"/>
      </w:pPr>
      <w:r>
        <w:separator/>
      </w:r>
    </w:p>
  </w:endnote>
  <w:endnote w:type="continuationSeparator" w:id="0">
    <w:p w14:paraId="12B69908" w14:textId="77777777" w:rsidR="006F6E11" w:rsidRDefault="006F6E11" w:rsidP="00916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2"/>
      <w:tblW w:w="8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0"/>
    </w:tblGrid>
    <w:tr w:rsidR="0016055F" w:rsidRPr="009164B5" w14:paraId="72603118" w14:textId="77777777" w:rsidTr="000B410F">
      <w:tc>
        <w:tcPr>
          <w:tcW w:w="8510" w:type="dxa"/>
        </w:tcPr>
        <w:p w14:paraId="4AA68C46" w14:textId="77777777" w:rsidR="0016055F" w:rsidRPr="009164B5" w:rsidRDefault="0016055F" w:rsidP="0016055F">
          <w:pPr>
            <w:ind w:right="-1134"/>
            <w:rPr>
              <w:rFonts w:ascii="Calibri" w:eastAsia="Times New Roman" w:hAnsi="Calibri" w:cs="Times New Roman"/>
              <w:sz w:val="18"/>
            </w:rPr>
          </w:pPr>
        </w:p>
      </w:tc>
    </w:tr>
  </w:tbl>
  <w:p w14:paraId="6F48537C" w14:textId="77777777" w:rsidR="0016055F" w:rsidRPr="007C1505" w:rsidRDefault="0016055F" w:rsidP="007C1505">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8F2F" w14:textId="77777777" w:rsidR="006F6E11" w:rsidRDefault="006F6E11" w:rsidP="009164B5">
      <w:pPr>
        <w:spacing w:after="0"/>
      </w:pPr>
      <w:r>
        <w:separator/>
      </w:r>
    </w:p>
  </w:footnote>
  <w:footnote w:type="continuationSeparator" w:id="0">
    <w:p w14:paraId="10ED73DB" w14:textId="77777777" w:rsidR="006F6E11" w:rsidRDefault="006F6E11" w:rsidP="009164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450"/>
      <w:gridCol w:w="4061"/>
      <w:gridCol w:w="5523"/>
    </w:tblGrid>
    <w:tr w:rsidR="0016055F" w:rsidRPr="009164B5" w14:paraId="2F0EA57D" w14:textId="77777777" w:rsidTr="005C5EB4">
      <w:tc>
        <w:tcPr>
          <w:tcW w:w="4450" w:type="dxa"/>
        </w:tcPr>
        <w:p w14:paraId="5064F9D3" w14:textId="77777777" w:rsidR="0016055F" w:rsidRPr="009164B5" w:rsidRDefault="0016055F" w:rsidP="009164B5">
          <w:pPr>
            <w:rPr>
              <w:rFonts w:ascii="Calibri" w:eastAsia="Times New Roman" w:hAnsi="Calibri" w:cs="Times New Roman"/>
              <w:sz w:val="18"/>
            </w:rPr>
          </w:pPr>
          <w:bookmarkStart w:id="1" w:name="bkmLogo1True"/>
          <w:bookmarkEnd w:id="1"/>
        </w:p>
      </w:tc>
      <w:tc>
        <w:tcPr>
          <w:tcW w:w="4061" w:type="dxa"/>
        </w:tcPr>
        <w:p w14:paraId="4CD105B1" w14:textId="77777777" w:rsidR="0016055F" w:rsidRPr="009164B5" w:rsidRDefault="0016055F" w:rsidP="009164B5">
          <w:pPr>
            <w:keepNext/>
            <w:spacing w:before="60"/>
            <w:rPr>
              <w:rFonts w:ascii="Calibri" w:eastAsia="Times New Roman" w:hAnsi="Calibri" w:cs="Times New Roman"/>
              <w:b/>
              <w:kern w:val="32"/>
              <w:sz w:val="32"/>
              <w:szCs w:val="52"/>
            </w:rPr>
          </w:pPr>
          <w:bookmarkStart w:id="2" w:name="bkmDocName"/>
          <w:bookmarkEnd w:id="2"/>
        </w:p>
      </w:tc>
      <w:tc>
        <w:tcPr>
          <w:tcW w:w="5523" w:type="dxa"/>
        </w:tcPr>
        <w:p w14:paraId="09D442AD" w14:textId="77777777" w:rsidR="0016055F" w:rsidRPr="009164B5" w:rsidRDefault="0016055F" w:rsidP="009164B5">
          <w:pPr>
            <w:spacing w:before="160"/>
            <w:jc w:val="right"/>
            <w:rPr>
              <w:rFonts w:ascii="Times New Roman" w:eastAsia="Times New Roman" w:hAnsi="Times New Roman" w:cs="Times New Roman"/>
            </w:rPr>
          </w:pPr>
          <w:r w:rsidRPr="009164B5">
            <w:rPr>
              <w:rFonts w:ascii="Times New Roman" w:eastAsia="Times New Roman" w:hAnsi="Times New Roman" w:cs="Times New Roman"/>
            </w:rPr>
            <w:fldChar w:fldCharType="begin"/>
          </w:r>
          <w:r w:rsidRPr="009164B5">
            <w:rPr>
              <w:rFonts w:ascii="Times New Roman" w:eastAsia="Times New Roman" w:hAnsi="Times New Roman" w:cs="Times New Roman"/>
            </w:rPr>
            <w:instrText>PAGE   \* MERGEFORMAT</w:instrText>
          </w:r>
          <w:r w:rsidRPr="009164B5">
            <w:rPr>
              <w:rFonts w:ascii="Times New Roman" w:eastAsia="Times New Roman" w:hAnsi="Times New Roman" w:cs="Times New Roman"/>
            </w:rPr>
            <w:fldChar w:fldCharType="separate"/>
          </w:r>
          <w:r w:rsidR="00B94B5C">
            <w:rPr>
              <w:rFonts w:ascii="Times New Roman" w:eastAsia="Times New Roman" w:hAnsi="Times New Roman" w:cs="Times New Roman"/>
              <w:noProof/>
            </w:rPr>
            <w:t>2</w:t>
          </w:r>
          <w:r w:rsidRPr="009164B5">
            <w:rPr>
              <w:rFonts w:ascii="Times New Roman" w:eastAsia="Times New Roman" w:hAnsi="Times New Roman" w:cs="Times New Roman"/>
            </w:rPr>
            <w:fldChar w:fldCharType="end"/>
          </w:r>
          <w:r w:rsidRPr="009164B5">
            <w:rPr>
              <w:rFonts w:ascii="Times New Roman" w:eastAsia="Times New Roman" w:hAnsi="Times New Roman" w:cs="Times New Roman"/>
            </w:rPr>
            <w:t xml:space="preserve"> (</w:t>
          </w:r>
          <w:r w:rsidRPr="009164B5">
            <w:rPr>
              <w:rFonts w:ascii="Times New Roman" w:eastAsia="Times New Roman" w:hAnsi="Times New Roman" w:cs="Times New Roman"/>
            </w:rPr>
            <w:fldChar w:fldCharType="begin"/>
          </w:r>
          <w:r w:rsidRPr="009164B5">
            <w:rPr>
              <w:rFonts w:ascii="Times New Roman" w:eastAsia="Times New Roman" w:hAnsi="Times New Roman" w:cs="Times New Roman"/>
            </w:rPr>
            <w:instrText xml:space="preserve"> NUMPAGES   \* MERGEFORMAT </w:instrText>
          </w:r>
          <w:r w:rsidRPr="009164B5">
            <w:rPr>
              <w:rFonts w:ascii="Times New Roman" w:eastAsia="Times New Roman" w:hAnsi="Times New Roman" w:cs="Times New Roman"/>
            </w:rPr>
            <w:fldChar w:fldCharType="separate"/>
          </w:r>
          <w:r w:rsidR="00B94B5C">
            <w:rPr>
              <w:rFonts w:ascii="Times New Roman" w:eastAsia="Times New Roman" w:hAnsi="Times New Roman" w:cs="Times New Roman"/>
              <w:noProof/>
            </w:rPr>
            <w:t>2</w:t>
          </w:r>
          <w:r w:rsidRPr="009164B5">
            <w:rPr>
              <w:rFonts w:ascii="Times New Roman" w:eastAsia="Times New Roman" w:hAnsi="Times New Roman" w:cs="Times New Roman"/>
            </w:rPr>
            <w:fldChar w:fldCharType="end"/>
          </w:r>
          <w:r w:rsidRPr="009164B5">
            <w:rPr>
              <w:rFonts w:ascii="Times New Roman" w:eastAsia="Times New Roman" w:hAnsi="Times New Roman" w:cs="Times New Roman"/>
            </w:rPr>
            <w:t>)</w:t>
          </w:r>
        </w:p>
      </w:tc>
    </w:tr>
  </w:tbl>
  <w:p w14:paraId="5FEF808E" w14:textId="77777777" w:rsidR="009164B5" w:rsidRPr="0016055F" w:rsidRDefault="009164B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513"/>
      <w:gridCol w:w="3260"/>
      <w:gridCol w:w="3261"/>
    </w:tblGrid>
    <w:tr w:rsidR="00B94B5C" w:rsidRPr="009164B5" w14:paraId="146E9853" w14:textId="77777777" w:rsidTr="005C5EB4">
      <w:tc>
        <w:tcPr>
          <w:tcW w:w="7513" w:type="dxa"/>
          <w:vMerge w:val="restart"/>
        </w:tcPr>
        <w:p w14:paraId="1AD32C32" w14:textId="77777777" w:rsidR="00B94B5C" w:rsidRPr="009164B5" w:rsidRDefault="00AB3485" w:rsidP="0016055F">
          <w:pPr>
            <w:rPr>
              <w:rFonts w:ascii="Calibri" w:eastAsia="Times New Roman" w:hAnsi="Calibri" w:cs="Times New Roman"/>
              <w:sz w:val="18"/>
            </w:rPr>
          </w:pPr>
          <w:r>
            <w:rPr>
              <w:noProof/>
            </w:rPr>
            <w:drawing>
              <wp:inline distT="0" distB="0" distL="0" distR="0" wp14:anchorId="66AFD117" wp14:editId="01F53DB2">
                <wp:extent cx="1836420" cy="678042"/>
                <wp:effectExtent l="0" t="0" r="0" b="8255"/>
                <wp:docPr id="1" name="Bildobjekt 1" descr="SBU: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BU:s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0106" cy="686787"/>
                        </a:xfrm>
                        <a:prstGeom prst="rect">
                          <a:avLst/>
                        </a:prstGeom>
                        <a:noFill/>
                        <a:ln>
                          <a:noFill/>
                        </a:ln>
                      </pic:spPr>
                    </pic:pic>
                  </a:graphicData>
                </a:graphic>
              </wp:inline>
            </w:drawing>
          </w:r>
        </w:p>
      </w:tc>
      <w:tc>
        <w:tcPr>
          <w:tcW w:w="3260" w:type="dxa"/>
        </w:tcPr>
        <w:p w14:paraId="3253410C" w14:textId="79236928" w:rsidR="00B94B5C" w:rsidRPr="007C1505" w:rsidRDefault="008448F8" w:rsidP="007C1505">
          <w:pPr>
            <w:pStyle w:val="RubrikSidhuvud"/>
          </w:pPr>
          <w:r>
            <w:t xml:space="preserve">Bilaga till </w:t>
          </w:r>
          <w:r w:rsidR="005C5EB4">
            <w:t>förstudie</w:t>
          </w:r>
        </w:p>
      </w:tc>
      <w:tc>
        <w:tcPr>
          <w:tcW w:w="3261" w:type="dxa"/>
        </w:tcPr>
        <w:p w14:paraId="3EF33CC1" w14:textId="77777777" w:rsidR="00B94B5C" w:rsidRPr="009164B5" w:rsidRDefault="00B94B5C" w:rsidP="006F3DB9">
          <w:pPr>
            <w:jc w:val="right"/>
          </w:pPr>
          <w:r w:rsidRPr="009164B5">
            <w:fldChar w:fldCharType="begin"/>
          </w:r>
          <w:r w:rsidRPr="009164B5">
            <w:instrText>PAGE   \* MERGEFORMAT</w:instrText>
          </w:r>
          <w:r w:rsidRPr="009164B5">
            <w:fldChar w:fldCharType="separate"/>
          </w:r>
          <w:r w:rsidR="0035306C">
            <w:rPr>
              <w:noProof/>
            </w:rPr>
            <w:t>1</w:t>
          </w:r>
          <w:r w:rsidRPr="009164B5">
            <w:fldChar w:fldCharType="end"/>
          </w:r>
          <w:r w:rsidRPr="009164B5">
            <w:t xml:space="preserve"> (</w:t>
          </w:r>
          <w:r w:rsidR="000F2A5A">
            <w:fldChar w:fldCharType="begin"/>
          </w:r>
          <w:r w:rsidR="000F2A5A">
            <w:instrText>NUMPAGES   \* MERGEFORMAT</w:instrText>
          </w:r>
          <w:r w:rsidR="000F2A5A">
            <w:fldChar w:fldCharType="separate"/>
          </w:r>
          <w:r w:rsidR="0035306C">
            <w:rPr>
              <w:noProof/>
            </w:rPr>
            <w:t>1</w:t>
          </w:r>
          <w:r w:rsidR="000F2A5A">
            <w:rPr>
              <w:noProof/>
            </w:rPr>
            <w:fldChar w:fldCharType="end"/>
          </w:r>
          <w:r w:rsidRPr="009164B5">
            <w:t>)</w:t>
          </w:r>
        </w:p>
      </w:tc>
    </w:tr>
    <w:tr w:rsidR="008448F8" w:rsidRPr="009164B5" w14:paraId="72CF56BF" w14:textId="77777777" w:rsidTr="005C5EB4">
      <w:trPr>
        <w:trHeight w:val="596"/>
      </w:trPr>
      <w:tc>
        <w:tcPr>
          <w:tcW w:w="7513" w:type="dxa"/>
          <w:vMerge/>
        </w:tcPr>
        <w:p w14:paraId="71D66451" w14:textId="77777777" w:rsidR="008448F8" w:rsidRPr="009164B5" w:rsidRDefault="008448F8" w:rsidP="0016055F">
          <w:pPr>
            <w:rPr>
              <w:rFonts w:ascii="Calibri" w:eastAsia="Times New Roman" w:hAnsi="Calibri" w:cs="Times New Roman"/>
              <w:sz w:val="18"/>
            </w:rPr>
          </w:pPr>
        </w:p>
      </w:tc>
      <w:tc>
        <w:tcPr>
          <w:tcW w:w="6521" w:type="dxa"/>
          <w:gridSpan w:val="2"/>
        </w:tcPr>
        <w:p w14:paraId="48D37228" w14:textId="599BA779" w:rsidR="008448F8" w:rsidRPr="008448F8" w:rsidRDefault="005C5EB4" w:rsidP="00606706">
          <w:pPr>
            <w:pStyle w:val="Ledtextsidhuvud"/>
            <w:ind w:right="0"/>
            <w:rPr>
              <w:sz w:val="24"/>
            </w:rPr>
          </w:pPr>
          <w:r w:rsidRPr="001C47F1">
            <w:rPr>
              <w:sz w:val="24"/>
            </w:rPr>
            <w:t>Förstudie om öppna mötesplatser och möjligheter att nå svårnådda äldre personer med fokus på social förskrivning</w:t>
          </w:r>
          <w:r w:rsidRPr="008448F8">
            <w:rPr>
              <w:sz w:val="24"/>
            </w:rPr>
            <w:t xml:space="preserve">, </w:t>
          </w:r>
          <w:r>
            <w:rPr>
              <w:sz w:val="24"/>
            </w:rPr>
            <w:t>diarienummer SBU 2025/63</w:t>
          </w:r>
        </w:p>
      </w:tc>
    </w:tr>
    <w:tr w:rsidR="0035306C" w:rsidRPr="009164B5" w14:paraId="297BB65A" w14:textId="77777777" w:rsidTr="005C5EB4">
      <w:trPr>
        <w:trHeight w:val="596"/>
      </w:trPr>
      <w:tc>
        <w:tcPr>
          <w:tcW w:w="7513" w:type="dxa"/>
        </w:tcPr>
        <w:p w14:paraId="173FE502" w14:textId="77777777" w:rsidR="0035306C" w:rsidRPr="009164B5" w:rsidRDefault="0035306C" w:rsidP="0016055F">
          <w:pPr>
            <w:rPr>
              <w:rFonts w:ascii="Calibri" w:eastAsia="Times New Roman" w:hAnsi="Calibri" w:cs="Times New Roman"/>
              <w:sz w:val="18"/>
            </w:rPr>
          </w:pPr>
        </w:p>
      </w:tc>
      <w:tc>
        <w:tcPr>
          <w:tcW w:w="6521" w:type="dxa"/>
          <w:gridSpan w:val="2"/>
        </w:tcPr>
        <w:p w14:paraId="09414EE1" w14:textId="77777777" w:rsidR="0035306C" w:rsidRPr="008448F8" w:rsidRDefault="0035306C" w:rsidP="00606706">
          <w:pPr>
            <w:pStyle w:val="Ledtextsidhuvud"/>
            <w:ind w:right="0"/>
            <w:rPr>
              <w:sz w:val="24"/>
            </w:rPr>
          </w:pPr>
        </w:p>
      </w:tc>
    </w:tr>
  </w:tbl>
  <w:p w14:paraId="0A0F5F68" w14:textId="77777777" w:rsidR="0016055F" w:rsidRPr="0016055F" w:rsidRDefault="0016055F">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200FA0E"/>
    <w:lvl w:ilvl="0">
      <w:start w:val="1"/>
      <w:numFmt w:val="decimal"/>
      <w:lvlText w:val="%1."/>
      <w:lvlJc w:val="left"/>
      <w:pPr>
        <w:tabs>
          <w:tab w:val="num" w:pos="360"/>
        </w:tabs>
        <w:ind w:left="360" w:hanging="360"/>
      </w:pPr>
    </w:lvl>
  </w:abstractNum>
  <w:abstractNum w:abstractNumId="1" w15:restartNumberingAfterBreak="0">
    <w:nsid w:val="08F97574"/>
    <w:multiLevelType w:val="hybridMultilevel"/>
    <w:tmpl w:val="556A135E"/>
    <w:lvl w:ilvl="0" w:tplc="F49A47DC">
      <w:start w:val="1"/>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FF1AFD"/>
    <w:multiLevelType w:val="hybridMultilevel"/>
    <w:tmpl w:val="F68AA192"/>
    <w:lvl w:ilvl="0" w:tplc="EF18149A">
      <w:start w:val="1"/>
      <w:numFmt w:val="bullet"/>
      <w:pStyle w:val="Liststycke"/>
      <w:lvlText w:val="•"/>
      <w:lvlJc w:val="left"/>
      <w:pPr>
        <w:ind w:left="1440" w:hanging="360"/>
      </w:pPr>
      <w:rPr>
        <w:rFonts w:ascii="Calibri" w:hAnsi="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618D212D"/>
    <w:multiLevelType w:val="hybridMultilevel"/>
    <w:tmpl w:val="04FC9114"/>
    <w:lvl w:ilvl="0" w:tplc="0E0E99F4">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F782F16"/>
    <w:multiLevelType w:val="hybridMultilevel"/>
    <w:tmpl w:val="3BA8140A"/>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499080194">
    <w:abstractNumId w:val="2"/>
  </w:num>
  <w:num w:numId="2" w16cid:durableId="1024789506">
    <w:abstractNumId w:val="0"/>
    <w:lvlOverride w:ilvl="0">
      <w:startOverride w:val="1"/>
    </w:lvlOverride>
  </w:num>
  <w:num w:numId="3" w16cid:durableId="1082218930">
    <w:abstractNumId w:val="0"/>
  </w:num>
  <w:num w:numId="4" w16cid:durableId="207884960">
    <w:abstractNumId w:val="4"/>
  </w:num>
  <w:num w:numId="5" w16cid:durableId="698552838">
    <w:abstractNumId w:val="2"/>
  </w:num>
  <w:num w:numId="6" w16cid:durableId="2140105376">
    <w:abstractNumId w:val="1"/>
  </w:num>
  <w:num w:numId="7" w16cid:durableId="561718478">
    <w:abstractNumId w:val="2"/>
  </w:num>
  <w:num w:numId="8" w16cid:durableId="660544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B4"/>
    <w:rsid w:val="0007764D"/>
    <w:rsid w:val="000904F1"/>
    <w:rsid w:val="000B410F"/>
    <w:rsid w:val="000C08C9"/>
    <w:rsid w:val="000F2A5A"/>
    <w:rsid w:val="00127045"/>
    <w:rsid w:val="00134F0D"/>
    <w:rsid w:val="0016055F"/>
    <w:rsid w:val="0018092A"/>
    <w:rsid w:val="00191CB8"/>
    <w:rsid w:val="002204D9"/>
    <w:rsid w:val="002A5F5A"/>
    <w:rsid w:val="00304AF3"/>
    <w:rsid w:val="0034063D"/>
    <w:rsid w:val="003406F3"/>
    <w:rsid w:val="0035306C"/>
    <w:rsid w:val="003D0238"/>
    <w:rsid w:val="003D6715"/>
    <w:rsid w:val="004D253A"/>
    <w:rsid w:val="005C5EB4"/>
    <w:rsid w:val="00606706"/>
    <w:rsid w:val="00622951"/>
    <w:rsid w:val="006F3DB9"/>
    <w:rsid w:val="006F6E11"/>
    <w:rsid w:val="00735952"/>
    <w:rsid w:val="007B0114"/>
    <w:rsid w:val="007C1505"/>
    <w:rsid w:val="008448F8"/>
    <w:rsid w:val="008E451B"/>
    <w:rsid w:val="00901A7B"/>
    <w:rsid w:val="00910C23"/>
    <w:rsid w:val="009164B5"/>
    <w:rsid w:val="00986B21"/>
    <w:rsid w:val="009D7F47"/>
    <w:rsid w:val="00A0252E"/>
    <w:rsid w:val="00A03104"/>
    <w:rsid w:val="00A25B59"/>
    <w:rsid w:val="00AB3485"/>
    <w:rsid w:val="00AB482D"/>
    <w:rsid w:val="00B217CA"/>
    <w:rsid w:val="00B431A8"/>
    <w:rsid w:val="00B94B5C"/>
    <w:rsid w:val="00BA3652"/>
    <w:rsid w:val="00BC75CD"/>
    <w:rsid w:val="00BF590C"/>
    <w:rsid w:val="00CC141B"/>
    <w:rsid w:val="00DA3DD8"/>
    <w:rsid w:val="00E04C12"/>
    <w:rsid w:val="00E27DC0"/>
    <w:rsid w:val="00E41633"/>
    <w:rsid w:val="00E42D27"/>
    <w:rsid w:val="00E52497"/>
    <w:rsid w:val="00E97FBB"/>
    <w:rsid w:val="00EA219B"/>
    <w:rsid w:val="00F773EB"/>
    <w:rsid w:val="07702CF7"/>
    <w:rsid w:val="29C2BD6E"/>
    <w:rsid w:val="4A73065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73092"/>
  <w15:chartTrackingRefBased/>
  <w15:docId w15:val="{36612646-029F-4983-B913-B3DBA4AC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05"/>
    <w:pPr>
      <w:spacing w:after="240" w:line="240" w:lineRule="auto"/>
    </w:pPr>
    <w:rPr>
      <w:rFonts w:ascii="Garamond" w:hAnsi="Garamond"/>
      <w:sz w:val="24"/>
    </w:rPr>
  </w:style>
  <w:style w:type="paragraph" w:styleId="Rubrik1">
    <w:name w:val="heading 1"/>
    <w:basedOn w:val="Normal"/>
    <w:next w:val="Normal"/>
    <w:link w:val="Rubrik1Char"/>
    <w:uiPriority w:val="9"/>
    <w:qFormat/>
    <w:rsid w:val="0016055F"/>
    <w:pPr>
      <w:keepNext/>
      <w:keepLines/>
      <w:spacing w:before="240" w:after="0"/>
      <w:outlineLvl w:val="0"/>
    </w:pPr>
    <w:rPr>
      <w:rFonts w:asciiTheme="majorHAnsi" w:eastAsiaTheme="majorEastAsia" w:hAnsiTheme="majorHAnsi" w:cstheme="majorBidi"/>
      <w:color w:val="4472C4" w:themeColor="accent5"/>
      <w:sz w:val="32"/>
      <w:szCs w:val="32"/>
    </w:rPr>
  </w:style>
  <w:style w:type="paragraph" w:styleId="Rubrik2">
    <w:name w:val="heading 2"/>
    <w:basedOn w:val="Normal"/>
    <w:next w:val="Normal"/>
    <w:link w:val="Rubrik2Char"/>
    <w:uiPriority w:val="9"/>
    <w:unhideWhenUsed/>
    <w:qFormat/>
    <w:rsid w:val="0016055F"/>
    <w:pPr>
      <w:keepNext/>
      <w:keepLines/>
      <w:spacing w:before="40" w:after="0"/>
      <w:outlineLvl w:val="1"/>
    </w:pPr>
    <w:rPr>
      <w:rFonts w:asciiTheme="majorHAnsi" w:eastAsiaTheme="majorEastAsia" w:hAnsiTheme="majorHAnsi" w:cstheme="majorBidi"/>
      <w:color w:val="4472C4" w:themeColor="accent5"/>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64B5"/>
    <w:pPr>
      <w:tabs>
        <w:tab w:val="center" w:pos="4536"/>
        <w:tab w:val="right" w:pos="9072"/>
      </w:tabs>
      <w:spacing w:after="0"/>
    </w:pPr>
  </w:style>
  <w:style w:type="character" w:customStyle="1" w:styleId="SidhuvudChar">
    <w:name w:val="Sidhuvud Char"/>
    <w:basedOn w:val="Standardstycketeckensnitt"/>
    <w:link w:val="Sidhuvud"/>
    <w:uiPriority w:val="99"/>
    <w:rsid w:val="009164B5"/>
  </w:style>
  <w:style w:type="paragraph" w:styleId="Sidfot">
    <w:name w:val="footer"/>
    <w:basedOn w:val="Normal"/>
    <w:link w:val="SidfotChar"/>
    <w:uiPriority w:val="99"/>
    <w:unhideWhenUsed/>
    <w:rsid w:val="007C1505"/>
    <w:pPr>
      <w:spacing w:after="0"/>
      <w:ind w:right="-1134"/>
    </w:pPr>
    <w:rPr>
      <w:rFonts w:ascii="Calibri" w:eastAsia="Times New Roman" w:hAnsi="Calibri" w:cs="Times New Roman"/>
      <w:sz w:val="18"/>
      <w:szCs w:val="24"/>
    </w:rPr>
  </w:style>
  <w:style w:type="character" w:customStyle="1" w:styleId="SidfotChar">
    <w:name w:val="Sidfot Char"/>
    <w:basedOn w:val="Standardstycketeckensnitt"/>
    <w:link w:val="Sidfot"/>
    <w:uiPriority w:val="99"/>
    <w:rsid w:val="007C1505"/>
    <w:rPr>
      <w:rFonts w:ascii="Calibri" w:eastAsia="Times New Roman" w:hAnsi="Calibri" w:cs="Times New Roman"/>
      <w:sz w:val="18"/>
      <w:szCs w:val="24"/>
    </w:rPr>
  </w:style>
  <w:style w:type="table" w:styleId="Tabellrutnt">
    <w:name w:val="Table Grid"/>
    <w:basedOn w:val="Normaltabell"/>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9164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Extra">
    <w:name w:val="RubrikExtra"/>
    <w:basedOn w:val="Normal"/>
    <w:link w:val="RubrikExtraChar"/>
    <w:rsid w:val="0016055F"/>
    <w:pPr>
      <w:keepNext/>
      <w:keepLines/>
      <w:spacing w:before="960" w:after="0"/>
      <w:outlineLvl w:val="3"/>
    </w:pPr>
    <w:rPr>
      <w:rFonts w:ascii="Calibri" w:eastAsia="Times New Roman" w:hAnsi="Calibri" w:cs="Times New Roman"/>
      <w:b/>
      <w:bCs/>
      <w:iCs/>
      <w:sz w:val="20"/>
      <w:szCs w:val="24"/>
    </w:rPr>
  </w:style>
  <w:style w:type="character" w:customStyle="1" w:styleId="Rubrik1Char">
    <w:name w:val="Rubrik 1 Char"/>
    <w:basedOn w:val="Standardstycketeckensnitt"/>
    <w:link w:val="Rubrik1"/>
    <w:uiPriority w:val="9"/>
    <w:rsid w:val="0016055F"/>
    <w:rPr>
      <w:rFonts w:asciiTheme="majorHAnsi" w:eastAsiaTheme="majorEastAsia" w:hAnsiTheme="majorHAnsi" w:cstheme="majorBidi"/>
      <w:color w:val="4472C4" w:themeColor="accent5"/>
      <w:sz w:val="32"/>
      <w:szCs w:val="32"/>
    </w:rPr>
  </w:style>
  <w:style w:type="character" w:customStyle="1" w:styleId="RubrikExtraChar">
    <w:name w:val="RubrikExtra Char"/>
    <w:basedOn w:val="Standardstycketeckensnitt"/>
    <w:link w:val="RubrikExtra"/>
    <w:rsid w:val="0016055F"/>
    <w:rPr>
      <w:rFonts w:ascii="Calibri" w:eastAsia="Times New Roman" w:hAnsi="Calibri" w:cs="Times New Roman"/>
      <w:b/>
      <w:bCs/>
      <w:iCs/>
      <w:sz w:val="20"/>
      <w:szCs w:val="24"/>
    </w:rPr>
  </w:style>
  <w:style w:type="character" w:customStyle="1" w:styleId="Rubrik2Char">
    <w:name w:val="Rubrik 2 Char"/>
    <w:basedOn w:val="Standardstycketeckensnitt"/>
    <w:link w:val="Rubrik2"/>
    <w:uiPriority w:val="9"/>
    <w:rsid w:val="0016055F"/>
    <w:rPr>
      <w:rFonts w:asciiTheme="majorHAnsi" w:eastAsiaTheme="majorEastAsia" w:hAnsiTheme="majorHAnsi" w:cstheme="majorBidi"/>
      <w:color w:val="4472C4" w:themeColor="accent5"/>
      <w:sz w:val="26"/>
      <w:szCs w:val="26"/>
    </w:rPr>
  </w:style>
  <w:style w:type="character" w:styleId="Starkbetoning">
    <w:name w:val="Intense Emphasis"/>
    <w:basedOn w:val="Standardstycketeckensnitt"/>
    <w:uiPriority w:val="21"/>
    <w:rsid w:val="0016055F"/>
    <w:rPr>
      <w:i/>
      <w:iCs/>
      <w:color w:val="4472C4" w:themeColor="accent5"/>
    </w:rPr>
  </w:style>
  <w:style w:type="paragraph" w:styleId="Starktcitat">
    <w:name w:val="Intense Quote"/>
    <w:basedOn w:val="Normal"/>
    <w:next w:val="Normal"/>
    <w:link w:val="StarktcitatChar"/>
    <w:uiPriority w:val="30"/>
    <w:rsid w:val="0016055F"/>
    <w:pPr>
      <w:pBdr>
        <w:top w:val="single" w:sz="4" w:space="10" w:color="5B9BD5" w:themeColor="accent1"/>
        <w:bottom w:val="single" w:sz="4" w:space="10" w:color="5B9BD5" w:themeColor="accent1"/>
      </w:pBdr>
      <w:spacing w:before="360" w:after="360"/>
      <w:ind w:left="864" w:right="864"/>
      <w:jc w:val="center"/>
    </w:pPr>
    <w:rPr>
      <w:i/>
      <w:iCs/>
      <w:color w:val="4472C4" w:themeColor="accent5"/>
    </w:rPr>
  </w:style>
  <w:style w:type="character" w:customStyle="1" w:styleId="StarktcitatChar">
    <w:name w:val="Starkt citat Char"/>
    <w:basedOn w:val="Standardstycketeckensnitt"/>
    <w:link w:val="Starktcitat"/>
    <w:uiPriority w:val="30"/>
    <w:rsid w:val="0016055F"/>
    <w:rPr>
      <w:i/>
      <w:iCs/>
      <w:color w:val="4472C4" w:themeColor="accent5"/>
    </w:rPr>
  </w:style>
  <w:style w:type="character" w:styleId="Starkreferens">
    <w:name w:val="Intense Reference"/>
    <w:basedOn w:val="Standardstycketeckensnitt"/>
    <w:uiPriority w:val="32"/>
    <w:rsid w:val="0016055F"/>
    <w:rPr>
      <w:b/>
      <w:bCs/>
      <w:smallCaps/>
      <w:color w:val="4472C4" w:themeColor="accent5"/>
      <w:spacing w:val="5"/>
    </w:rPr>
  </w:style>
  <w:style w:type="character" w:styleId="Platshllartext">
    <w:name w:val="Placeholder Text"/>
    <w:basedOn w:val="Standardstycketeckensnitt"/>
    <w:uiPriority w:val="99"/>
    <w:semiHidden/>
    <w:rsid w:val="002204D9"/>
    <w:rPr>
      <w:color w:val="808080"/>
    </w:rPr>
  </w:style>
  <w:style w:type="paragraph" w:customStyle="1" w:styleId="Svartrubrik1">
    <w:name w:val="Svart rubrik 1"/>
    <w:basedOn w:val="Rubrik1"/>
    <w:next w:val="Normal"/>
    <w:qFormat/>
    <w:rsid w:val="002204D9"/>
    <w:pPr>
      <w:spacing w:after="100"/>
      <w:outlineLvl w:val="1"/>
    </w:pPr>
    <w:rPr>
      <w:rFonts w:ascii="Calibri" w:eastAsia="Times New Roman" w:hAnsi="Calibri" w:cs="Times New Roman"/>
      <w:b/>
      <w:bCs/>
      <w:iCs/>
      <w:color w:val="auto"/>
      <w:sz w:val="28"/>
      <w:szCs w:val="28"/>
      <w:lang w:eastAsia="sv-SE"/>
    </w:rPr>
  </w:style>
  <w:style w:type="paragraph" w:customStyle="1" w:styleId="RubrikSidhuvud">
    <w:name w:val="Rubrik Sidhuvud"/>
    <w:basedOn w:val="Svartrubrik1"/>
    <w:next w:val="Normal"/>
    <w:rsid w:val="007C1505"/>
    <w:pPr>
      <w:spacing w:before="60" w:after="0"/>
    </w:pPr>
    <w:rPr>
      <w:kern w:val="32"/>
      <w:sz w:val="32"/>
      <w:szCs w:val="52"/>
    </w:rPr>
  </w:style>
  <w:style w:type="paragraph" w:customStyle="1" w:styleId="Svartrubrik2">
    <w:name w:val="Svart rubrik 2"/>
    <w:basedOn w:val="Svartrubrik1"/>
    <w:next w:val="Normal"/>
    <w:qFormat/>
    <w:rsid w:val="007C1505"/>
    <w:rPr>
      <w:sz w:val="24"/>
    </w:rPr>
  </w:style>
  <w:style w:type="paragraph" w:customStyle="1" w:styleId="Ledtextsidhuvud">
    <w:name w:val="Ledtext sidhuvud"/>
    <w:basedOn w:val="Sidfot"/>
    <w:rsid w:val="007C1505"/>
  </w:style>
  <w:style w:type="paragraph" w:styleId="Liststycke">
    <w:name w:val="List Paragraph"/>
    <w:basedOn w:val="Normal"/>
    <w:uiPriority w:val="34"/>
    <w:qFormat/>
    <w:rsid w:val="007C1505"/>
    <w:pPr>
      <w:numPr>
        <w:numId w:val="1"/>
      </w:numPr>
      <w:contextualSpacing/>
    </w:pPr>
    <w:rPr>
      <w:szCs w:val="24"/>
    </w:rPr>
  </w:style>
  <w:style w:type="table" w:styleId="Rutntstabell4dekorfrg1">
    <w:name w:val="Grid Table 4 Accent 1"/>
    <w:basedOn w:val="Normaltabell"/>
    <w:uiPriority w:val="49"/>
    <w:rsid w:val="005C5EB4"/>
    <w:pPr>
      <w:spacing w:after="0" w:line="240" w:lineRule="auto"/>
    </w:pPr>
    <w:rPr>
      <w:kern w:val="2"/>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dNoteBibliography">
    <w:name w:val="EndNote Bibliography"/>
    <w:basedOn w:val="Normal"/>
    <w:link w:val="EndNoteBibliographyChar"/>
    <w:rsid w:val="005C5EB4"/>
    <w:rPr>
      <w:rFonts w:eastAsiaTheme="majorEastAsia" w:cstheme="majorBidi"/>
      <w:noProof/>
      <w:color w:val="4472C4" w:themeColor="accent5"/>
      <w:sz w:val="26"/>
      <w:szCs w:val="26"/>
      <w:lang w:val="en-US"/>
    </w:rPr>
  </w:style>
  <w:style w:type="character" w:customStyle="1" w:styleId="EndNoteBibliographyChar">
    <w:name w:val="EndNote Bibliography Char"/>
    <w:basedOn w:val="Rubrik2Char"/>
    <w:link w:val="EndNoteBibliography"/>
    <w:rsid w:val="005C5EB4"/>
    <w:rPr>
      <w:rFonts w:ascii="Garamond" w:eastAsiaTheme="majorEastAsia" w:hAnsi="Garamond" w:cstheme="majorBidi"/>
      <w:noProof/>
      <w:color w:val="4472C4" w:themeColor="accent5"/>
      <w:sz w:val="26"/>
      <w:szCs w:val="26"/>
      <w:lang w:val="en-US"/>
    </w:rPr>
  </w:style>
  <w:style w:type="character" w:styleId="Kommentarsreferens">
    <w:name w:val="annotation reference"/>
    <w:basedOn w:val="Standardstycketeckensnitt"/>
    <w:uiPriority w:val="99"/>
    <w:semiHidden/>
    <w:unhideWhenUsed/>
    <w:rsid w:val="00E04C12"/>
    <w:rPr>
      <w:sz w:val="16"/>
      <w:szCs w:val="16"/>
    </w:rPr>
  </w:style>
  <w:style w:type="paragraph" w:styleId="Kommentarer">
    <w:name w:val="annotation text"/>
    <w:basedOn w:val="Normal"/>
    <w:link w:val="KommentarerChar"/>
    <w:uiPriority w:val="99"/>
    <w:unhideWhenUsed/>
    <w:rsid w:val="00E04C12"/>
    <w:rPr>
      <w:sz w:val="20"/>
      <w:szCs w:val="20"/>
    </w:rPr>
  </w:style>
  <w:style w:type="character" w:customStyle="1" w:styleId="KommentarerChar">
    <w:name w:val="Kommentarer Char"/>
    <w:basedOn w:val="Standardstycketeckensnitt"/>
    <w:link w:val="Kommentarer"/>
    <w:uiPriority w:val="99"/>
    <w:rsid w:val="00E04C12"/>
    <w:rPr>
      <w:rFonts w:ascii="Garamond" w:hAnsi="Garamond"/>
      <w:sz w:val="20"/>
      <w:szCs w:val="20"/>
    </w:rPr>
  </w:style>
  <w:style w:type="paragraph" w:styleId="Kommentarsmne">
    <w:name w:val="annotation subject"/>
    <w:basedOn w:val="Kommentarer"/>
    <w:next w:val="Kommentarer"/>
    <w:link w:val="KommentarsmneChar"/>
    <w:uiPriority w:val="99"/>
    <w:semiHidden/>
    <w:unhideWhenUsed/>
    <w:rsid w:val="00E04C12"/>
    <w:rPr>
      <w:b/>
      <w:bCs/>
    </w:rPr>
  </w:style>
  <w:style w:type="character" w:customStyle="1" w:styleId="KommentarsmneChar">
    <w:name w:val="Kommentarsämne Char"/>
    <w:basedOn w:val="KommentarerChar"/>
    <w:link w:val="Kommentarsmne"/>
    <w:uiPriority w:val="99"/>
    <w:semiHidden/>
    <w:rsid w:val="00E04C12"/>
    <w:rPr>
      <w:rFonts w:ascii="Garamond" w:hAnsi="Garamond"/>
      <w:b/>
      <w:bCs/>
      <w:sz w:val="20"/>
      <w:szCs w:val="20"/>
    </w:rPr>
  </w:style>
  <w:style w:type="character" w:styleId="Nmn">
    <w:name w:val="Mention"/>
    <w:basedOn w:val="Standardstycketeckensnitt"/>
    <w:uiPriority w:val="99"/>
    <w:unhideWhenUsed/>
    <w:rsid w:val="00E04C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t\AppData\Roaming\Microsoft\Mallar\Projekt\Bilaga%20till%20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8D72EC68E0FA47BDA978162C5770CA" ma:contentTypeVersion="4" ma:contentTypeDescription="Skapa ett nytt dokument." ma:contentTypeScope="" ma:versionID="689ee413538ab6edffe25dc8831d02bc">
  <xsd:schema xmlns:xsd="http://www.w3.org/2001/XMLSchema" xmlns:xs="http://www.w3.org/2001/XMLSchema" xmlns:p="http://schemas.microsoft.com/office/2006/metadata/properties" xmlns:ns2="0dfadbd6-de6e-4258-9f7c-f3e61848be19" targetNamespace="http://schemas.microsoft.com/office/2006/metadata/properties" ma:root="true" ma:fieldsID="25405d96ea743a46209bd7530645a163" ns2:_="">
    <xsd:import namespace="0dfadbd6-de6e-4258-9f7c-f3e61848be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adbd6-de6e-4258-9f7c-f3e61848b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3CCD5-4181-48E4-B1EA-2355C7E90657}">
  <ds:schemaRefs>
    <ds:schemaRef ds:uri="http://schemas.microsoft.com/sharepoint/v3/contenttype/forms"/>
  </ds:schemaRefs>
</ds:datastoreItem>
</file>

<file path=customXml/itemProps2.xml><?xml version="1.0" encoding="utf-8"?>
<ds:datastoreItem xmlns:ds="http://schemas.openxmlformats.org/officeDocument/2006/customXml" ds:itemID="{83F08572-7D15-4174-B434-525C1B97B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adbd6-de6e-4258-9f7c-f3e61848b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E3E38-C77A-4F31-82BD-C22E7F1161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273FA1-6368-4369-8EEC-41D9CA31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Bilaga till rapport</Template>
  <TotalTime>1</TotalTime>
  <Pages>2</Pages>
  <Words>500</Words>
  <Characters>2652</Characters>
  <Application>Microsoft Office Word</Application>
  <DocSecurity>4</DocSecurity>
  <Lines>22</Lines>
  <Paragraphs>6</Paragraphs>
  <ScaleCrop>false</ScaleCrop>
  <Company>SBU</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Attergren Granath</dc:creator>
  <cp:keywords/>
  <dc:description/>
  <cp:lastModifiedBy>Mikael Nilsson</cp:lastModifiedBy>
  <cp:revision>2</cp:revision>
  <dcterms:created xsi:type="dcterms:W3CDTF">2025-05-27T08:54:00Z</dcterms:created>
  <dcterms:modified xsi:type="dcterms:W3CDTF">2025-05-27T08:54:00Z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0x010100D08D72EC68E0FA47BDA978162C5770CA</vt:lpwstr>
  </property>
</Properties>
</file>