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E3C1" w14:textId="0369D2EC" w:rsidR="009C12E0" w:rsidRDefault="009C12E0" w:rsidP="009C12E0">
      <w:pPr>
        <w:pStyle w:val="Rubrik2"/>
      </w:pPr>
      <w:bookmarkStart w:id="0" w:name="bkmGreeting"/>
      <w:bookmarkEnd w:id="0"/>
      <w:r w:rsidRPr="00E53186">
        <w:t>Bilaga 4</w:t>
      </w:r>
      <w:r>
        <w:t>.</w:t>
      </w:r>
      <w:r w:rsidRPr="00E53186">
        <w:t xml:space="preserve"> Tabell med en kartläggning av inkluderade systematiska översikter och pr</w:t>
      </w:r>
      <w:r>
        <w:t xml:space="preserve">imärstudier om social förskrivning (social </w:t>
      </w:r>
      <w:r w:rsidR="00003E6B">
        <w:t>prescribing</w:t>
      </w:r>
      <w:r>
        <w:t xml:space="preserve">). Samtliga artiklar kartlagda utifrån population, studiedesign och utfallskategori. </w:t>
      </w:r>
    </w:p>
    <w:p w14:paraId="65BE2070" w14:textId="77777777" w:rsidR="00737C0B" w:rsidRDefault="00737C0B" w:rsidP="00737C0B"/>
    <w:p w14:paraId="5CF9E203" w14:textId="77777777" w:rsidR="00737C0B" w:rsidRPr="007F1EAA" w:rsidRDefault="00737C0B" w:rsidP="00737C0B">
      <w:pPr>
        <w:pStyle w:val="Rubrik2"/>
        <w:rPr>
          <w:rFonts w:asciiTheme="minorHAnsi" w:hAnsiTheme="minorHAnsi" w:cstheme="minorHAnsi"/>
          <w:sz w:val="24"/>
          <w:szCs w:val="24"/>
        </w:rPr>
      </w:pPr>
      <w:r w:rsidRPr="007F1EAA">
        <w:rPr>
          <w:rFonts w:asciiTheme="minorHAnsi" w:hAnsiTheme="minorHAnsi" w:cstheme="minorHAnsi"/>
          <w:sz w:val="24"/>
          <w:szCs w:val="24"/>
        </w:rPr>
        <w:t xml:space="preserve">Samtliga artiklar kartlagda utifrån population, studiedesign och fyra utfallskategorier: </w:t>
      </w:r>
    </w:p>
    <w:p w14:paraId="7960813A" w14:textId="77777777" w:rsidR="00737C0B" w:rsidRPr="007F1EAA" w:rsidRDefault="00737C0B" w:rsidP="00737C0B">
      <w:pPr>
        <w:pStyle w:val="Rubrik2"/>
        <w:rPr>
          <w:rFonts w:asciiTheme="minorHAnsi" w:hAnsiTheme="minorHAnsi" w:cstheme="minorHAnsi"/>
          <w:sz w:val="24"/>
          <w:szCs w:val="24"/>
        </w:rPr>
      </w:pPr>
      <w:r w:rsidRPr="007F1EAA">
        <w:rPr>
          <w:rFonts w:asciiTheme="minorHAnsi" w:hAnsiTheme="minorHAnsi" w:cstheme="minorHAnsi"/>
          <w:sz w:val="24"/>
          <w:szCs w:val="24"/>
        </w:rPr>
        <w:t xml:space="preserve">1= Fysiologisk/klinisk (Physiologic/Clinical), 2=Påverkan på livet (Life impact), 3=Tillhandahållen vård (Provision of care), 4=Utnyttjande av resurser (Use of resources). </w:t>
      </w:r>
    </w:p>
    <w:p w14:paraId="68582D4A" w14:textId="1BD683EE" w:rsidR="009C12E0" w:rsidRPr="004E3359" w:rsidRDefault="009C12E0" w:rsidP="009C12E0">
      <w:pPr>
        <w:rPr>
          <w:b/>
          <w:bCs/>
        </w:rPr>
      </w:pPr>
    </w:p>
    <w:tbl>
      <w:tblPr>
        <w:tblStyle w:val="Tabellrutnt"/>
        <w:tblW w:w="0" w:type="auto"/>
        <w:tblLayout w:type="fixed"/>
        <w:tblLook w:val="04A0" w:firstRow="1" w:lastRow="0" w:firstColumn="1" w:lastColumn="0" w:noHBand="0" w:noVBand="1"/>
      </w:tblPr>
      <w:tblGrid>
        <w:gridCol w:w="2263"/>
        <w:gridCol w:w="1418"/>
        <w:gridCol w:w="1417"/>
        <w:gridCol w:w="1276"/>
        <w:gridCol w:w="1276"/>
        <w:gridCol w:w="1412"/>
      </w:tblGrid>
      <w:tr w:rsidR="009C12E0" w:rsidRPr="00103EB7" w14:paraId="6A304C7E" w14:textId="77777777" w:rsidTr="008F1808">
        <w:trPr>
          <w:trHeight w:val="135"/>
        </w:trPr>
        <w:tc>
          <w:tcPr>
            <w:tcW w:w="2263" w:type="dxa"/>
            <w:vMerge w:val="restart"/>
            <w:shd w:val="clear" w:color="auto" w:fill="2E74B5" w:themeFill="accent1" w:themeFillShade="BF"/>
          </w:tcPr>
          <w:p w14:paraId="19CE6958" w14:textId="77777777" w:rsidR="009C12E0" w:rsidRPr="00103EB7" w:rsidRDefault="009C12E0" w:rsidP="00737C0B">
            <w:pPr>
              <w:spacing w:after="0"/>
              <w:rPr>
                <w:rFonts w:ascii="Aptos" w:hAnsi="Aptos"/>
                <w:b/>
                <w:bCs/>
                <w:color w:val="FFFFFF" w:themeColor="background1"/>
              </w:rPr>
            </w:pPr>
            <w:r w:rsidRPr="00103EB7">
              <w:rPr>
                <w:rFonts w:ascii="Aptos" w:hAnsi="Aptos"/>
                <w:b/>
                <w:bCs/>
                <w:color w:val="FFFFFF" w:themeColor="background1"/>
              </w:rPr>
              <w:t xml:space="preserve">Author </w:t>
            </w:r>
          </w:p>
          <w:p w14:paraId="1EAC194E" w14:textId="77777777" w:rsidR="009C12E0" w:rsidRPr="00103EB7" w:rsidRDefault="009C12E0" w:rsidP="00737C0B">
            <w:pPr>
              <w:spacing w:after="0"/>
              <w:rPr>
                <w:rFonts w:ascii="Aptos" w:hAnsi="Aptos"/>
                <w:b/>
                <w:bCs/>
                <w:color w:val="FFFFFF" w:themeColor="background1"/>
              </w:rPr>
            </w:pPr>
            <w:r w:rsidRPr="00103EB7">
              <w:rPr>
                <w:rFonts w:ascii="Aptos" w:hAnsi="Aptos"/>
                <w:b/>
                <w:bCs/>
                <w:color w:val="FFFFFF" w:themeColor="background1"/>
              </w:rPr>
              <w:t>Year</w:t>
            </w:r>
          </w:p>
          <w:p w14:paraId="4B5391FD" w14:textId="77777777" w:rsidR="009C12E0" w:rsidRPr="00103EB7" w:rsidRDefault="009C12E0" w:rsidP="00737C0B">
            <w:pPr>
              <w:spacing w:after="0"/>
              <w:rPr>
                <w:rFonts w:ascii="Aptos" w:hAnsi="Aptos"/>
                <w:b/>
                <w:bCs/>
                <w:color w:val="FFFFFF" w:themeColor="background1"/>
              </w:rPr>
            </w:pPr>
            <w:r w:rsidRPr="00103EB7">
              <w:rPr>
                <w:rFonts w:ascii="Aptos" w:hAnsi="Aptos"/>
                <w:b/>
                <w:bCs/>
                <w:color w:val="FFFFFF" w:themeColor="background1"/>
              </w:rPr>
              <w:t>Country</w:t>
            </w:r>
          </w:p>
          <w:p w14:paraId="601469C7" w14:textId="77777777" w:rsidR="009C12E0" w:rsidRPr="00103EB7" w:rsidRDefault="009C12E0" w:rsidP="00737C0B">
            <w:pPr>
              <w:spacing w:after="0"/>
              <w:rPr>
                <w:rFonts w:ascii="Aptos" w:hAnsi="Aptos"/>
                <w:b/>
                <w:bCs/>
                <w:color w:val="FFFFFF" w:themeColor="background1"/>
              </w:rPr>
            </w:pPr>
            <w:r w:rsidRPr="00103EB7">
              <w:rPr>
                <w:rFonts w:ascii="Aptos" w:hAnsi="Aptos"/>
                <w:b/>
                <w:bCs/>
                <w:color w:val="FFFFFF" w:themeColor="background1"/>
              </w:rPr>
              <w:t>Reference</w:t>
            </w:r>
          </w:p>
        </w:tc>
        <w:tc>
          <w:tcPr>
            <w:tcW w:w="1418" w:type="dxa"/>
            <w:vMerge w:val="restart"/>
            <w:shd w:val="clear" w:color="auto" w:fill="2E74B5" w:themeFill="accent1" w:themeFillShade="BF"/>
          </w:tcPr>
          <w:p w14:paraId="0A2AF374" w14:textId="77777777" w:rsidR="009C12E0" w:rsidRPr="00103EB7" w:rsidRDefault="009C12E0" w:rsidP="00600057">
            <w:pPr>
              <w:jc w:val="center"/>
              <w:rPr>
                <w:rFonts w:ascii="Aptos" w:hAnsi="Aptos"/>
                <w:b/>
                <w:bCs/>
                <w:color w:val="FFFFFF" w:themeColor="background1"/>
              </w:rPr>
            </w:pPr>
            <w:r w:rsidRPr="00103EB7">
              <w:rPr>
                <w:rFonts w:ascii="Aptos" w:hAnsi="Aptos"/>
                <w:b/>
                <w:bCs/>
                <w:color w:val="FFFFFF" w:themeColor="background1"/>
              </w:rPr>
              <w:t>Study design</w:t>
            </w:r>
          </w:p>
        </w:tc>
        <w:tc>
          <w:tcPr>
            <w:tcW w:w="5381" w:type="dxa"/>
            <w:gridSpan w:val="4"/>
            <w:shd w:val="clear" w:color="auto" w:fill="2E74B5" w:themeFill="accent1" w:themeFillShade="BF"/>
          </w:tcPr>
          <w:p w14:paraId="2CCA5BCB" w14:textId="538E7976" w:rsidR="009C12E0" w:rsidRPr="00103EB7" w:rsidRDefault="00737C0B" w:rsidP="00600057">
            <w:pPr>
              <w:jc w:val="center"/>
              <w:rPr>
                <w:rFonts w:ascii="Aptos" w:hAnsi="Aptos"/>
                <w:b/>
                <w:bCs/>
                <w:color w:val="FFFFFF" w:themeColor="background1"/>
              </w:rPr>
            </w:pPr>
            <w:r w:rsidRPr="00103EB7">
              <w:rPr>
                <w:rFonts w:ascii="Aptos" w:hAnsi="Aptos"/>
                <w:b/>
                <w:bCs/>
                <w:color w:val="FFFFFF" w:themeColor="background1"/>
              </w:rPr>
              <w:t>Outcome</w:t>
            </w:r>
            <w:r w:rsidR="00376030" w:rsidRPr="00241BD0">
              <w:rPr>
                <w:b/>
                <w:bCs/>
              </w:rPr>
              <w:t xml:space="preserve"> </w:t>
            </w:r>
          </w:p>
        </w:tc>
      </w:tr>
      <w:tr w:rsidR="009C12E0" w:rsidRPr="00103EB7" w14:paraId="48C39498" w14:textId="77777777" w:rsidTr="004F6B83">
        <w:trPr>
          <w:trHeight w:val="834"/>
        </w:trPr>
        <w:tc>
          <w:tcPr>
            <w:tcW w:w="2263" w:type="dxa"/>
            <w:vMerge/>
          </w:tcPr>
          <w:p w14:paraId="59F35E21" w14:textId="77777777" w:rsidR="009C12E0" w:rsidRPr="00103EB7" w:rsidRDefault="009C12E0" w:rsidP="006C313A">
            <w:pPr>
              <w:rPr>
                <w:rFonts w:ascii="Aptos" w:hAnsi="Aptos"/>
                <w:b/>
                <w:bCs/>
                <w:color w:val="FFFFFF" w:themeColor="background1"/>
              </w:rPr>
            </w:pPr>
          </w:p>
        </w:tc>
        <w:tc>
          <w:tcPr>
            <w:tcW w:w="1418" w:type="dxa"/>
            <w:vMerge/>
          </w:tcPr>
          <w:p w14:paraId="686F0874" w14:textId="77777777" w:rsidR="009C12E0" w:rsidRPr="00103EB7" w:rsidRDefault="009C12E0" w:rsidP="00600057">
            <w:pPr>
              <w:jc w:val="center"/>
              <w:rPr>
                <w:rFonts w:ascii="Aptos" w:hAnsi="Aptos"/>
                <w:b/>
                <w:bCs/>
                <w:color w:val="FFFFFF" w:themeColor="background1"/>
              </w:rPr>
            </w:pPr>
          </w:p>
        </w:tc>
        <w:tc>
          <w:tcPr>
            <w:tcW w:w="1417" w:type="dxa"/>
            <w:shd w:val="clear" w:color="auto" w:fill="2E74B5" w:themeFill="accent1" w:themeFillShade="BF"/>
          </w:tcPr>
          <w:p w14:paraId="06A43CA3" w14:textId="31A27D61" w:rsidR="009C12E0" w:rsidRPr="00103EB7" w:rsidRDefault="009C12E0" w:rsidP="00600057">
            <w:pPr>
              <w:jc w:val="center"/>
              <w:rPr>
                <w:rFonts w:ascii="Aptos" w:hAnsi="Aptos"/>
                <w:b/>
                <w:bCs/>
                <w:color w:val="FFFFFF" w:themeColor="background1"/>
                <w:sz w:val="22"/>
                <w:szCs w:val="22"/>
              </w:rPr>
            </w:pPr>
            <w:r w:rsidRPr="00103EB7">
              <w:rPr>
                <w:rFonts w:ascii="Aptos" w:hAnsi="Aptos"/>
                <w:b/>
                <w:bCs/>
                <w:color w:val="FFFFFF" w:themeColor="background1"/>
                <w:sz w:val="22"/>
                <w:szCs w:val="22"/>
              </w:rPr>
              <w:t>Physiologic/Clinical</w:t>
            </w:r>
          </w:p>
          <w:p w14:paraId="65B6DB4E" w14:textId="77777777" w:rsidR="009C12E0" w:rsidRPr="00103EB7" w:rsidRDefault="009C12E0" w:rsidP="00600057">
            <w:pPr>
              <w:jc w:val="center"/>
              <w:rPr>
                <w:rFonts w:ascii="Aptos" w:hAnsi="Aptos"/>
                <w:b/>
                <w:bCs/>
                <w:color w:val="FFFFFF" w:themeColor="background1"/>
                <w:sz w:val="22"/>
                <w:szCs w:val="22"/>
              </w:rPr>
            </w:pPr>
          </w:p>
        </w:tc>
        <w:tc>
          <w:tcPr>
            <w:tcW w:w="1276" w:type="dxa"/>
            <w:shd w:val="clear" w:color="auto" w:fill="2E74B5" w:themeFill="accent1" w:themeFillShade="BF"/>
          </w:tcPr>
          <w:p w14:paraId="330831FA" w14:textId="6349EEC1" w:rsidR="009C12E0" w:rsidRPr="00103EB7" w:rsidRDefault="00737C0B" w:rsidP="00600057">
            <w:pPr>
              <w:jc w:val="center"/>
              <w:rPr>
                <w:rFonts w:ascii="Aptos" w:hAnsi="Aptos"/>
                <w:b/>
                <w:bCs/>
                <w:color w:val="FFFFFF" w:themeColor="background1"/>
                <w:sz w:val="22"/>
                <w:szCs w:val="22"/>
              </w:rPr>
            </w:pPr>
            <w:r w:rsidRPr="00103EB7">
              <w:rPr>
                <w:rFonts w:ascii="Aptos" w:hAnsi="Aptos"/>
                <w:b/>
                <w:bCs/>
                <w:color w:val="FFFFFF" w:themeColor="background1"/>
                <w:sz w:val="22"/>
                <w:szCs w:val="22"/>
              </w:rPr>
              <w:t>Life impact</w:t>
            </w:r>
          </w:p>
        </w:tc>
        <w:tc>
          <w:tcPr>
            <w:tcW w:w="1276" w:type="dxa"/>
            <w:shd w:val="clear" w:color="auto" w:fill="2E74B5" w:themeFill="accent1" w:themeFillShade="BF"/>
          </w:tcPr>
          <w:p w14:paraId="5C721A36" w14:textId="77777777" w:rsidR="009C12E0" w:rsidRPr="00103EB7" w:rsidRDefault="009C12E0" w:rsidP="00600057">
            <w:pPr>
              <w:jc w:val="center"/>
              <w:rPr>
                <w:rFonts w:ascii="Aptos" w:hAnsi="Aptos"/>
                <w:b/>
                <w:bCs/>
                <w:color w:val="FFFFFF" w:themeColor="background1"/>
                <w:sz w:val="22"/>
                <w:szCs w:val="22"/>
              </w:rPr>
            </w:pPr>
            <w:r w:rsidRPr="00103EB7">
              <w:rPr>
                <w:rFonts w:ascii="Aptos" w:hAnsi="Aptos"/>
                <w:b/>
                <w:bCs/>
                <w:color w:val="FFFFFF" w:themeColor="background1"/>
                <w:sz w:val="22"/>
                <w:szCs w:val="22"/>
              </w:rPr>
              <w:t>Provision of care</w:t>
            </w:r>
          </w:p>
        </w:tc>
        <w:tc>
          <w:tcPr>
            <w:tcW w:w="1412" w:type="dxa"/>
            <w:shd w:val="clear" w:color="auto" w:fill="2E74B5" w:themeFill="accent1" w:themeFillShade="BF"/>
          </w:tcPr>
          <w:p w14:paraId="20647405" w14:textId="77777777" w:rsidR="009C12E0" w:rsidRPr="00103EB7" w:rsidRDefault="009C12E0" w:rsidP="00600057">
            <w:pPr>
              <w:jc w:val="center"/>
              <w:rPr>
                <w:rFonts w:ascii="Aptos" w:hAnsi="Aptos"/>
                <w:b/>
                <w:bCs/>
                <w:color w:val="FFFFFF" w:themeColor="background1"/>
                <w:sz w:val="22"/>
                <w:szCs w:val="22"/>
              </w:rPr>
            </w:pPr>
            <w:r w:rsidRPr="00103EB7">
              <w:rPr>
                <w:rFonts w:ascii="Aptos" w:hAnsi="Aptos" w:cs="Times New Roman"/>
                <w:b/>
                <w:bCs/>
                <w:color w:val="FFFFFF" w:themeColor="background1"/>
                <w:sz w:val="22"/>
                <w:szCs w:val="22"/>
              </w:rPr>
              <w:t>Use of resources</w:t>
            </w:r>
          </w:p>
        </w:tc>
      </w:tr>
      <w:tr w:rsidR="009C12E0" w:rsidRPr="00103EB7" w14:paraId="3426D1B3" w14:textId="77777777" w:rsidTr="61ED3D32">
        <w:tc>
          <w:tcPr>
            <w:tcW w:w="9062" w:type="dxa"/>
            <w:gridSpan w:val="6"/>
            <w:shd w:val="clear" w:color="auto" w:fill="EAEDF1"/>
          </w:tcPr>
          <w:p w14:paraId="12286E94" w14:textId="25108AD7" w:rsidR="009C12E0" w:rsidRPr="00103EB7" w:rsidRDefault="009C12E0" w:rsidP="006C313A">
            <w:pPr>
              <w:jc w:val="center"/>
              <w:rPr>
                <w:rFonts w:ascii="Aptos" w:hAnsi="Aptos"/>
                <w:sz w:val="20"/>
                <w:szCs w:val="20"/>
              </w:rPr>
            </w:pPr>
            <w:r w:rsidRPr="00103EB7">
              <w:rPr>
                <w:rFonts w:ascii="Aptos" w:hAnsi="Aptos"/>
                <w:b/>
                <w:bCs/>
                <w:sz w:val="20"/>
                <w:szCs w:val="20"/>
                <w:lang w:val="en-GB"/>
              </w:rPr>
              <w:t>Population</w:t>
            </w:r>
            <w:r w:rsidR="007B1B4B">
              <w:rPr>
                <w:rFonts w:ascii="Aptos" w:hAnsi="Aptos"/>
                <w:b/>
                <w:bCs/>
                <w:sz w:val="20"/>
                <w:szCs w:val="20"/>
                <w:lang w:val="en-GB"/>
              </w:rPr>
              <w:t>;</w:t>
            </w:r>
            <w:r w:rsidRPr="00103EB7">
              <w:rPr>
                <w:rFonts w:ascii="Aptos" w:hAnsi="Aptos"/>
                <w:b/>
                <w:bCs/>
                <w:sz w:val="20"/>
                <w:szCs w:val="20"/>
                <w:lang w:val="en-GB"/>
              </w:rPr>
              <w:t xml:space="preserve"> 60 years ≥</w:t>
            </w:r>
            <w:r w:rsidRPr="00103EB7">
              <w:rPr>
                <w:rFonts w:ascii="Aptos" w:hAnsi="Aptos"/>
                <w:b/>
                <w:bCs/>
                <w:sz w:val="20"/>
                <w:szCs w:val="20"/>
              </w:rPr>
              <w:t> </w:t>
            </w:r>
          </w:p>
        </w:tc>
      </w:tr>
      <w:tr w:rsidR="009C12E0" w:rsidRPr="00103EB7" w14:paraId="293A01EF" w14:textId="77777777" w:rsidTr="00131AB9">
        <w:trPr>
          <w:trHeight w:val="1030"/>
        </w:trPr>
        <w:tc>
          <w:tcPr>
            <w:tcW w:w="2263" w:type="dxa"/>
          </w:tcPr>
          <w:p w14:paraId="6B9A8017"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Percival et al. </w:t>
            </w:r>
          </w:p>
          <w:p w14:paraId="2130E5F9"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2022</w:t>
            </w:r>
          </w:p>
          <w:p w14:paraId="6BF33F6C" w14:textId="3C571B3E" w:rsidR="009C12E0" w:rsidRPr="00103EB7" w:rsidRDefault="00D277E7" w:rsidP="00737C0B">
            <w:pPr>
              <w:spacing w:after="0"/>
              <w:rPr>
                <w:rFonts w:ascii="Aptos" w:hAnsi="Aptos"/>
                <w:color w:val="000000"/>
                <w:sz w:val="20"/>
                <w:szCs w:val="20"/>
              </w:rPr>
            </w:pPr>
            <w:r>
              <w:rPr>
                <w:rFonts w:ascii="Aptos" w:hAnsi="Aptos"/>
                <w:color w:val="000000"/>
                <w:sz w:val="20"/>
                <w:szCs w:val="20"/>
              </w:rPr>
              <w:t>C</w:t>
            </w:r>
            <w:r w:rsidR="009C12E0" w:rsidRPr="00103EB7">
              <w:rPr>
                <w:rFonts w:ascii="Aptos" w:hAnsi="Aptos"/>
                <w:color w:val="000000"/>
                <w:sz w:val="20"/>
                <w:szCs w:val="20"/>
              </w:rPr>
              <w:t>anada</w:t>
            </w:r>
          </w:p>
          <w:p w14:paraId="1DB0785F" w14:textId="2A9F7423" w:rsidR="009C12E0" w:rsidRPr="00103EB7" w:rsidRDefault="009C12E0" w:rsidP="00737C0B">
            <w:pPr>
              <w:spacing w:after="0"/>
              <w:rPr>
                <w:rFonts w:ascii="Aptos" w:hAnsi="Aptos"/>
                <w:color w:val="000000"/>
                <w:sz w:val="20"/>
                <w:szCs w:val="20"/>
              </w:rPr>
            </w:pPr>
            <w:r w:rsidRPr="00103EB7">
              <w:rPr>
                <w:rFonts w:ascii="Aptos" w:hAnsi="Aptos"/>
                <w:noProof/>
                <w:color w:val="000000"/>
                <w:sz w:val="20"/>
                <w:szCs w:val="20"/>
              </w:rPr>
              <w:t>[</w:t>
            </w:r>
            <w:r w:rsidR="00267AC6">
              <w:rPr>
                <w:rFonts w:ascii="Aptos" w:hAnsi="Aptos"/>
                <w:noProof/>
                <w:color w:val="000000"/>
                <w:sz w:val="20"/>
                <w:szCs w:val="20"/>
              </w:rPr>
              <w:t>1</w:t>
            </w:r>
            <w:r w:rsidRPr="00103EB7">
              <w:rPr>
                <w:rFonts w:ascii="Aptos" w:hAnsi="Aptos"/>
                <w:noProof/>
                <w:color w:val="000000"/>
                <w:sz w:val="20"/>
                <w:szCs w:val="20"/>
              </w:rPr>
              <w:t>]</w:t>
            </w:r>
          </w:p>
        </w:tc>
        <w:tc>
          <w:tcPr>
            <w:tcW w:w="1418" w:type="dxa"/>
          </w:tcPr>
          <w:p w14:paraId="16069879" w14:textId="77777777" w:rsidR="009C12E0" w:rsidRPr="00B145E5" w:rsidRDefault="009C12E0" w:rsidP="006C313A">
            <w:pPr>
              <w:rPr>
                <w:rFonts w:ascii="Aptos" w:hAnsi="Aptos"/>
                <w:sz w:val="20"/>
                <w:szCs w:val="20"/>
              </w:rPr>
            </w:pPr>
            <w:r w:rsidRPr="00B145E5">
              <w:rPr>
                <w:rFonts w:ascii="Aptos" w:hAnsi="Aptos"/>
                <w:color w:val="000000"/>
                <w:sz w:val="20"/>
                <w:szCs w:val="20"/>
              </w:rPr>
              <w:t>Systematic review</w:t>
            </w:r>
          </w:p>
        </w:tc>
        <w:tc>
          <w:tcPr>
            <w:tcW w:w="1417" w:type="dxa"/>
            <w:vAlign w:val="center"/>
          </w:tcPr>
          <w:p w14:paraId="1EA11B77" w14:textId="236E9CEC" w:rsidR="009C12E0" w:rsidRPr="00600057" w:rsidRDefault="009C12E0" w:rsidP="00737C0B">
            <w:pPr>
              <w:jc w:val="center"/>
              <w:rPr>
                <w:rFonts w:ascii="Aptos" w:hAnsi="Aptos"/>
                <w:b/>
                <w:bCs/>
                <w:sz w:val="20"/>
                <w:szCs w:val="20"/>
              </w:rPr>
            </w:pPr>
            <w:r w:rsidRPr="00600057">
              <w:rPr>
                <w:rFonts w:ascii="Aptos" w:hAnsi="Aptos"/>
                <w:b/>
                <w:bCs/>
                <w:sz w:val="20"/>
                <w:szCs w:val="20"/>
              </w:rPr>
              <w:t>x</w:t>
            </w:r>
          </w:p>
        </w:tc>
        <w:tc>
          <w:tcPr>
            <w:tcW w:w="1276" w:type="dxa"/>
            <w:vAlign w:val="center"/>
          </w:tcPr>
          <w:p w14:paraId="25A77827"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c>
          <w:tcPr>
            <w:tcW w:w="1276" w:type="dxa"/>
            <w:vAlign w:val="center"/>
          </w:tcPr>
          <w:p w14:paraId="24B9346E" w14:textId="77777777" w:rsidR="009C12E0" w:rsidRPr="00600057" w:rsidRDefault="009C12E0" w:rsidP="006C313A">
            <w:pPr>
              <w:jc w:val="center"/>
              <w:rPr>
                <w:rFonts w:ascii="Aptos" w:hAnsi="Aptos"/>
                <w:b/>
                <w:bCs/>
              </w:rPr>
            </w:pPr>
          </w:p>
        </w:tc>
        <w:tc>
          <w:tcPr>
            <w:tcW w:w="1412" w:type="dxa"/>
            <w:vAlign w:val="center"/>
          </w:tcPr>
          <w:p w14:paraId="701D25A4" w14:textId="5544E685" w:rsidR="009C12E0" w:rsidRPr="00600057" w:rsidRDefault="00600057" w:rsidP="006C313A">
            <w:pPr>
              <w:jc w:val="center"/>
              <w:rPr>
                <w:rFonts w:ascii="Aptos" w:hAnsi="Aptos"/>
                <w:b/>
                <w:bCs/>
                <w:sz w:val="20"/>
                <w:szCs w:val="20"/>
              </w:rPr>
            </w:pPr>
            <w:r w:rsidRPr="00600057">
              <w:rPr>
                <w:rFonts w:ascii="Aptos" w:hAnsi="Aptos"/>
                <w:b/>
                <w:bCs/>
                <w:sz w:val="20"/>
                <w:szCs w:val="20"/>
              </w:rPr>
              <w:t>x</w:t>
            </w:r>
          </w:p>
        </w:tc>
      </w:tr>
      <w:tr w:rsidR="009C12E0" w:rsidRPr="00103EB7" w14:paraId="6047618F" w14:textId="77777777" w:rsidTr="00600057">
        <w:tc>
          <w:tcPr>
            <w:tcW w:w="2263" w:type="dxa"/>
          </w:tcPr>
          <w:p w14:paraId="044BA336"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Sadio </w:t>
            </w:r>
          </w:p>
          <w:p w14:paraId="64C10098"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2024</w:t>
            </w:r>
          </w:p>
          <w:p w14:paraId="5B40A6FA"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Portugal</w:t>
            </w:r>
          </w:p>
          <w:p w14:paraId="5A52A3E7" w14:textId="3093C9B8" w:rsidR="009C12E0" w:rsidRPr="00103EB7" w:rsidRDefault="009C12E0" w:rsidP="00737C0B">
            <w:pPr>
              <w:spacing w:after="0"/>
              <w:rPr>
                <w:rFonts w:ascii="Aptos" w:hAnsi="Aptos"/>
                <w:color w:val="000000"/>
                <w:sz w:val="20"/>
                <w:szCs w:val="20"/>
              </w:rPr>
            </w:pPr>
            <w:r w:rsidRPr="00103EB7">
              <w:rPr>
                <w:rFonts w:ascii="Aptos" w:hAnsi="Aptos"/>
                <w:noProof/>
                <w:color w:val="000000"/>
                <w:sz w:val="20"/>
                <w:szCs w:val="20"/>
              </w:rPr>
              <w:t>[</w:t>
            </w:r>
            <w:r w:rsidR="00677860">
              <w:rPr>
                <w:rFonts w:ascii="Aptos" w:hAnsi="Aptos"/>
                <w:noProof/>
                <w:color w:val="000000"/>
                <w:sz w:val="20"/>
                <w:szCs w:val="20"/>
              </w:rPr>
              <w:t>2</w:t>
            </w:r>
            <w:r w:rsidRPr="00103EB7">
              <w:rPr>
                <w:rFonts w:ascii="Aptos" w:hAnsi="Aptos"/>
                <w:noProof/>
                <w:color w:val="000000"/>
                <w:sz w:val="20"/>
                <w:szCs w:val="20"/>
              </w:rPr>
              <w:t>]</w:t>
            </w:r>
          </w:p>
        </w:tc>
        <w:tc>
          <w:tcPr>
            <w:tcW w:w="1418" w:type="dxa"/>
          </w:tcPr>
          <w:p w14:paraId="2F66C204" w14:textId="77777777" w:rsidR="009C12E0" w:rsidRPr="00B145E5" w:rsidRDefault="009C12E0" w:rsidP="00737C0B">
            <w:pPr>
              <w:spacing w:after="0"/>
              <w:rPr>
                <w:rFonts w:ascii="Aptos" w:hAnsi="Aptos"/>
                <w:sz w:val="20"/>
                <w:szCs w:val="20"/>
              </w:rPr>
            </w:pPr>
            <w:r w:rsidRPr="00B145E5">
              <w:rPr>
                <w:rFonts w:ascii="Aptos" w:hAnsi="Aptos"/>
                <w:color w:val="000000"/>
                <w:sz w:val="20"/>
                <w:szCs w:val="20"/>
              </w:rPr>
              <w:t>Systematic review</w:t>
            </w:r>
          </w:p>
        </w:tc>
        <w:tc>
          <w:tcPr>
            <w:tcW w:w="1417" w:type="dxa"/>
            <w:vAlign w:val="center"/>
          </w:tcPr>
          <w:p w14:paraId="142DD8EA" w14:textId="77777777" w:rsidR="009C12E0" w:rsidRPr="00600057" w:rsidRDefault="009C12E0" w:rsidP="00737C0B">
            <w:pPr>
              <w:spacing w:after="0"/>
              <w:jc w:val="center"/>
              <w:rPr>
                <w:rFonts w:ascii="Aptos" w:hAnsi="Aptos"/>
                <w:b/>
                <w:bCs/>
                <w:sz w:val="20"/>
                <w:szCs w:val="20"/>
              </w:rPr>
            </w:pPr>
          </w:p>
        </w:tc>
        <w:tc>
          <w:tcPr>
            <w:tcW w:w="1276" w:type="dxa"/>
            <w:vAlign w:val="center"/>
          </w:tcPr>
          <w:p w14:paraId="3DE74B18" w14:textId="77777777" w:rsidR="009C12E0" w:rsidRPr="00600057" w:rsidRDefault="009C12E0" w:rsidP="00737C0B">
            <w:pPr>
              <w:spacing w:after="0"/>
              <w:jc w:val="center"/>
              <w:rPr>
                <w:rFonts w:ascii="Aptos" w:hAnsi="Aptos"/>
                <w:b/>
                <w:bCs/>
                <w:sz w:val="20"/>
                <w:szCs w:val="20"/>
              </w:rPr>
            </w:pPr>
          </w:p>
        </w:tc>
        <w:tc>
          <w:tcPr>
            <w:tcW w:w="1276" w:type="dxa"/>
            <w:vAlign w:val="center"/>
          </w:tcPr>
          <w:p w14:paraId="6D38B97F" w14:textId="107F9E89" w:rsidR="009C12E0" w:rsidRPr="00402EB1" w:rsidRDefault="00402EB1" w:rsidP="00737C0B">
            <w:pPr>
              <w:spacing w:after="0"/>
              <w:jc w:val="center"/>
              <w:rPr>
                <w:rFonts w:ascii="Aptos" w:hAnsi="Aptos"/>
                <w:b/>
                <w:bCs/>
                <w:sz w:val="20"/>
                <w:szCs w:val="20"/>
              </w:rPr>
            </w:pPr>
            <w:r w:rsidRPr="00402EB1">
              <w:rPr>
                <w:rFonts w:ascii="Aptos" w:hAnsi="Aptos"/>
                <w:b/>
                <w:bCs/>
                <w:sz w:val="20"/>
                <w:szCs w:val="20"/>
              </w:rPr>
              <w:t>x</w:t>
            </w:r>
          </w:p>
        </w:tc>
        <w:tc>
          <w:tcPr>
            <w:tcW w:w="1412" w:type="dxa"/>
            <w:vAlign w:val="center"/>
          </w:tcPr>
          <w:p w14:paraId="34313EEA" w14:textId="77777777" w:rsidR="009C12E0" w:rsidRPr="00600057" w:rsidRDefault="009C12E0" w:rsidP="00737C0B">
            <w:pPr>
              <w:spacing w:after="0"/>
              <w:jc w:val="center"/>
              <w:rPr>
                <w:rFonts w:ascii="Aptos" w:hAnsi="Aptos"/>
                <w:b/>
                <w:bCs/>
                <w:sz w:val="20"/>
                <w:szCs w:val="20"/>
              </w:rPr>
            </w:pPr>
          </w:p>
        </w:tc>
      </w:tr>
      <w:tr w:rsidR="009C12E0" w:rsidRPr="00103EB7" w14:paraId="4E2E4085" w14:textId="77777777" w:rsidTr="00600057">
        <w:tc>
          <w:tcPr>
            <w:tcW w:w="2263" w:type="dxa"/>
          </w:tcPr>
          <w:p w14:paraId="2D76A0E3" w14:textId="77777777" w:rsidR="009C12E0" w:rsidRPr="00103EB7" w:rsidRDefault="009C12E0" w:rsidP="00737C0B">
            <w:pPr>
              <w:spacing w:after="0"/>
              <w:rPr>
                <w:rFonts w:ascii="Aptos" w:hAnsi="Aptos"/>
                <w:color w:val="000000"/>
                <w:sz w:val="20"/>
                <w:szCs w:val="20"/>
                <w:lang w:val="en-US"/>
              </w:rPr>
            </w:pPr>
            <w:r w:rsidRPr="00103EB7">
              <w:rPr>
                <w:rFonts w:ascii="Aptos" w:hAnsi="Aptos"/>
                <w:color w:val="000000"/>
                <w:sz w:val="20"/>
                <w:szCs w:val="20"/>
                <w:lang w:val="en-US"/>
              </w:rPr>
              <w:t xml:space="preserve">Kiely et al. </w:t>
            </w:r>
          </w:p>
          <w:p w14:paraId="3B06FA8F" w14:textId="77777777" w:rsidR="009C12E0" w:rsidRPr="00103EB7" w:rsidRDefault="009C12E0" w:rsidP="00737C0B">
            <w:pPr>
              <w:spacing w:after="0"/>
              <w:rPr>
                <w:rFonts w:ascii="Aptos" w:hAnsi="Aptos"/>
                <w:color w:val="000000"/>
                <w:sz w:val="20"/>
                <w:szCs w:val="20"/>
                <w:lang w:val="en-US"/>
              </w:rPr>
            </w:pPr>
            <w:r w:rsidRPr="00103EB7">
              <w:rPr>
                <w:rFonts w:ascii="Aptos" w:hAnsi="Aptos"/>
                <w:color w:val="000000"/>
                <w:sz w:val="20"/>
                <w:szCs w:val="20"/>
                <w:lang w:val="en-US"/>
              </w:rPr>
              <w:t>2022</w:t>
            </w:r>
          </w:p>
          <w:p w14:paraId="15C70E7A" w14:textId="68B0D4D6" w:rsidR="009C12E0" w:rsidRPr="00103EB7" w:rsidRDefault="00FD4F10" w:rsidP="00737C0B">
            <w:pPr>
              <w:spacing w:after="0"/>
              <w:rPr>
                <w:rFonts w:ascii="Aptos" w:hAnsi="Aptos"/>
                <w:color w:val="000000"/>
                <w:sz w:val="20"/>
                <w:szCs w:val="20"/>
                <w:lang w:val="en-US"/>
              </w:rPr>
            </w:pPr>
            <w:r w:rsidRPr="00103EB7">
              <w:rPr>
                <w:rFonts w:ascii="Aptos" w:hAnsi="Aptos"/>
                <w:color w:val="000000"/>
                <w:sz w:val="20"/>
                <w:szCs w:val="20"/>
                <w:lang w:val="en-US"/>
              </w:rPr>
              <w:t>Ireland</w:t>
            </w:r>
          </w:p>
          <w:p w14:paraId="115F78FD" w14:textId="7294B8E4" w:rsidR="009C12E0" w:rsidRPr="00103EB7" w:rsidRDefault="009C12E0" w:rsidP="00737C0B">
            <w:pPr>
              <w:spacing w:after="0"/>
              <w:rPr>
                <w:rFonts w:ascii="Aptos" w:hAnsi="Aptos"/>
                <w:color w:val="000000"/>
                <w:sz w:val="20"/>
                <w:szCs w:val="20"/>
                <w:lang w:val="en-US"/>
              </w:rPr>
            </w:pPr>
            <w:r w:rsidRPr="00103EB7">
              <w:rPr>
                <w:rFonts w:ascii="Aptos" w:hAnsi="Aptos"/>
                <w:noProof/>
                <w:color w:val="000000"/>
                <w:sz w:val="20"/>
                <w:szCs w:val="20"/>
                <w:lang w:val="en-US"/>
              </w:rPr>
              <w:t>[</w:t>
            </w:r>
            <w:r w:rsidR="00ED29D7">
              <w:rPr>
                <w:rFonts w:ascii="Aptos" w:hAnsi="Aptos"/>
                <w:noProof/>
                <w:color w:val="000000"/>
                <w:sz w:val="20"/>
                <w:szCs w:val="20"/>
                <w:lang w:val="en-US"/>
              </w:rPr>
              <w:t>3</w:t>
            </w:r>
            <w:r w:rsidRPr="00103EB7">
              <w:rPr>
                <w:rFonts w:ascii="Aptos" w:hAnsi="Aptos"/>
                <w:noProof/>
                <w:color w:val="000000"/>
                <w:sz w:val="20"/>
                <w:szCs w:val="20"/>
                <w:lang w:val="en-US"/>
              </w:rPr>
              <w:t>]</w:t>
            </w:r>
          </w:p>
        </w:tc>
        <w:tc>
          <w:tcPr>
            <w:tcW w:w="1418" w:type="dxa"/>
          </w:tcPr>
          <w:p w14:paraId="16B13DEE" w14:textId="77777777" w:rsidR="009C12E0" w:rsidRPr="00B145E5" w:rsidRDefault="009C12E0" w:rsidP="006C313A">
            <w:pPr>
              <w:rPr>
                <w:rFonts w:ascii="Aptos" w:hAnsi="Aptos"/>
                <w:sz w:val="20"/>
                <w:szCs w:val="20"/>
              </w:rPr>
            </w:pPr>
            <w:r w:rsidRPr="00B145E5">
              <w:rPr>
                <w:rFonts w:ascii="Aptos" w:hAnsi="Aptos"/>
                <w:color w:val="000000"/>
                <w:sz w:val="20"/>
                <w:szCs w:val="20"/>
              </w:rPr>
              <w:t>Systematic review</w:t>
            </w:r>
          </w:p>
        </w:tc>
        <w:tc>
          <w:tcPr>
            <w:tcW w:w="1417" w:type="dxa"/>
            <w:vAlign w:val="center"/>
          </w:tcPr>
          <w:p w14:paraId="5A99B623" w14:textId="6586DCC1" w:rsidR="009C12E0" w:rsidRPr="00600057" w:rsidRDefault="009C12E0" w:rsidP="00737C0B">
            <w:pPr>
              <w:jc w:val="center"/>
              <w:rPr>
                <w:rFonts w:ascii="Aptos" w:hAnsi="Aptos"/>
                <w:b/>
                <w:bCs/>
                <w:sz w:val="20"/>
                <w:szCs w:val="20"/>
              </w:rPr>
            </w:pPr>
            <w:r w:rsidRPr="00600057">
              <w:rPr>
                <w:rFonts w:ascii="Aptos" w:hAnsi="Aptos"/>
                <w:b/>
                <w:bCs/>
                <w:sz w:val="20"/>
                <w:szCs w:val="20"/>
              </w:rPr>
              <w:t>x</w:t>
            </w:r>
          </w:p>
        </w:tc>
        <w:tc>
          <w:tcPr>
            <w:tcW w:w="1276" w:type="dxa"/>
            <w:vAlign w:val="center"/>
          </w:tcPr>
          <w:p w14:paraId="55ED55A6" w14:textId="77777777" w:rsidR="009C12E0" w:rsidRPr="00600057" w:rsidRDefault="009C12E0" w:rsidP="006C313A">
            <w:pPr>
              <w:jc w:val="center"/>
              <w:rPr>
                <w:rFonts w:ascii="Aptos" w:hAnsi="Aptos"/>
                <w:b/>
                <w:bCs/>
                <w:sz w:val="20"/>
                <w:szCs w:val="20"/>
              </w:rPr>
            </w:pPr>
          </w:p>
        </w:tc>
        <w:tc>
          <w:tcPr>
            <w:tcW w:w="1276" w:type="dxa"/>
            <w:vAlign w:val="center"/>
          </w:tcPr>
          <w:p w14:paraId="0CFBA197" w14:textId="77777777" w:rsidR="009C12E0" w:rsidRPr="00600057" w:rsidRDefault="009C12E0" w:rsidP="006C313A">
            <w:pPr>
              <w:jc w:val="center"/>
              <w:rPr>
                <w:rFonts w:ascii="Aptos" w:hAnsi="Aptos"/>
                <w:b/>
                <w:bCs/>
              </w:rPr>
            </w:pPr>
          </w:p>
        </w:tc>
        <w:tc>
          <w:tcPr>
            <w:tcW w:w="1412" w:type="dxa"/>
            <w:vAlign w:val="center"/>
          </w:tcPr>
          <w:p w14:paraId="2C72E0FE"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r>
      <w:tr w:rsidR="009C12E0" w:rsidRPr="00103EB7" w14:paraId="37CBB0C7" w14:textId="77777777" w:rsidTr="004F6B83">
        <w:trPr>
          <w:trHeight w:val="1046"/>
        </w:trPr>
        <w:tc>
          <w:tcPr>
            <w:tcW w:w="2263" w:type="dxa"/>
          </w:tcPr>
          <w:p w14:paraId="7E6B37EE" w14:textId="77777777" w:rsidR="009C12E0" w:rsidRPr="00103EB7" w:rsidRDefault="009C12E0" w:rsidP="00737C0B">
            <w:pPr>
              <w:spacing w:after="0"/>
              <w:rPr>
                <w:rFonts w:ascii="Aptos" w:hAnsi="Aptos"/>
                <w:sz w:val="20"/>
                <w:szCs w:val="20"/>
              </w:rPr>
            </w:pPr>
            <w:r w:rsidRPr="00103EB7">
              <w:rPr>
                <w:rFonts w:ascii="Aptos" w:hAnsi="Aptos"/>
                <w:color w:val="000000"/>
                <w:sz w:val="20"/>
                <w:szCs w:val="20"/>
              </w:rPr>
              <w:t>Elston et al.</w:t>
            </w:r>
            <w:r w:rsidRPr="00103EB7">
              <w:rPr>
                <w:rFonts w:ascii="Aptos" w:hAnsi="Aptos"/>
                <w:sz w:val="20"/>
                <w:szCs w:val="20"/>
              </w:rPr>
              <w:t xml:space="preserve"> </w:t>
            </w:r>
          </w:p>
          <w:p w14:paraId="724D9361" w14:textId="77777777" w:rsidR="009C12E0" w:rsidRPr="00103EB7" w:rsidRDefault="009C12E0" w:rsidP="00737C0B">
            <w:pPr>
              <w:spacing w:after="0"/>
              <w:rPr>
                <w:rFonts w:ascii="Aptos" w:hAnsi="Aptos"/>
                <w:sz w:val="20"/>
                <w:szCs w:val="20"/>
              </w:rPr>
            </w:pPr>
            <w:r w:rsidRPr="00103EB7">
              <w:rPr>
                <w:rFonts w:ascii="Aptos" w:hAnsi="Aptos"/>
                <w:sz w:val="20"/>
                <w:szCs w:val="20"/>
              </w:rPr>
              <w:t>2019</w:t>
            </w:r>
          </w:p>
          <w:p w14:paraId="251BE79A" w14:textId="77777777" w:rsidR="009C12E0" w:rsidRPr="00103EB7" w:rsidRDefault="009C12E0" w:rsidP="00737C0B">
            <w:pPr>
              <w:spacing w:after="0"/>
              <w:rPr>
                <w:rFonts w:ascii="Aptos" w:hAnsi="Aptos"/>
                <w:sz w:val="20"/>
                <w:szCs w:val="20"/>
              </w:rPr>
            </w:pPr>
            <w:r w:rsidRPr="00103EB7">
              <w:rPr>
                <w:rFonts w:ascii="Aptos" w:hAnsi="Aptos"/>
                <w:sz w:val="20"/>
                <w:szCs w:val="20"/>
              </w:rPr>
              <w:t>UK</w:t>
            </w:r>
          </w:p>
          <w:p w14:paraId="3A90C00F" w14:textId="7269BAB1" w:rsidR="009C12E0" w:rsidRPr="00103EB7" w:rsidRDefault="009C12E0" w:rsidP="00737C0B">
            <w:pPr>
              <w:spacing w:after="0"/>
              <w:rPr>
                <w:rFonts w:ascii="Aptos" w:hAnsi="Aptos"/>
                <w:sz w:val="20"/>
                <w:szCs w:val="20"/>
              </w:rPr>
            </w:pPr>
            <w:r w:rsidRPr="00103EB7">
              <w:rPr>
                <w:rFonts w:ascii="Aptos" w:hAnsi="Aptos"/>
                <w:noProof/>
                <w:sz w:val="20"/>
                <w:szCs w:val="20"/>
              </w:rPr>
              <w:t>[</w:t>
            </w:r>
            <w:r w:rsidR="00ED29D7">
              <w:rPr>
                <w:rFonts w:ascii="Aptos" w:hAnsi="Aptos"/>
                <w:noProof/>
                <w:sz w:val="20"/>
                <w:szCs w:val="20"/>
              </w:rPr>
              <w:t>4</w:t>
            </w:r>
            <w:r w:rsidRPr="00103EB7">
              <w:rPr>
                <w:rFonts w:ascii="Aptos" w:hAnsi="Aptos"/>
                <w:noProof/>
                <w:sz w:val="20"/>
                <w:szCs w:val="20"/>
              </w:rPr>
              <w:t>]</w:t>
            </w:r>
          </w:p>
        </w:tc>
        <w:tc>
          <w:tcPr>
            <w:tcW w:w="1418" w:type="dxa"/>
          </w:tcPr>
          <w:p w14:paraId="5E24D35E" w14:textId="5A63EAAE" w:rsidR="009C12E0" w:rsidRPr="00B145E5" w:rsidRDefault="00B31604" w:rsidP="000803C6">
            <w:pPr>
              <w:rPr>
                <w:rFonts w:ascii="Aptos" w:hAnsi="Aptos"/>
                <w:sz w:val="20"/>
                <w:szCs w:val="20"/>
              </w:rPr>
            </w:pPr>
            <w:r w:rsidRPr="00B145E5">
              <w:rPr>
                <w:rFonts w:ascii="Aptos" w:hAnsi="Aptos"/>
                <w:sz w:val="20"/>
                <w:szCs w:val="20"/>
              </w:rPr>
              <w:t>Primary study</w:t>
            </w:r>
            <w:r w:rsidR="00FD4F10">
              <w:rPr>
                <w:rFonts w:ascii="Aptos" w:hAnsi="Aptos"/>
                <w:sz w:val="20"/>
                <w:szCs w:val="20"/>
              </w:rPr>
              <w:br/>
            </w:r>
            <w:r w:rsidR="009C12E0" w:rsidRPr="00B145E5">
              <w:rPr>
                <w:rFonts w:ascii="Aptos" w:hAnsi="Aptos"/>
                <w:sz w:val="20"/>
                <w:szCs w:val="20"/>
              </w:rPr>
              <w:t>Quantitative</w:t>
            </w:r>
          </w:p>
        </w:tc>
        <w:tc>
          <w:tcPr>
            <w:tcW w:w="1417" w:type="dxa"/>
            <w:vAlign w:val="center"/>
          </w:tcPr>
          <w:p w14:paraId="45CDA7C5"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7DAA1C9C" w14:textId="77777777" w:rsidR="009C12E0" w:rsidRPr="00103EB7" w:rsidRDefault="009C12E0" w:rsidP="006C313A">
            <w:pPr>
              <w:jc w:val="center"/>
              <w:rPr>
                <w:rFonts w:ascii="Aptos" w:hAnsi="Aptos"/>
                <w:b/>
                <w:bCs/>
                <w:sz w:val="20"/>
                <w:szCs w:val="20"/>
              </w:rPr>
            </w:pPr>
          </w:p>
        </w:tc>
        <w:tc>
          <w:tcPr>
            <w:tcW w:w="1276" w:type="dxa"/>
            <w:vAlign w:val="center"/>
          </w:tcPr>
          <w:p w14:paraId="02188A08" w14:textId="77777777" w:rsidR="009C12E0" w:rsidRPr="00103EB7" w:rsidRDefault="009C12E0" w:rsidP="006C313A">
            <w:pPr>
              <w:jc w:val="center"/>
              <w:rPr>
                <w:rFonts w:ascii="Aptos" w:hAnsi="Aptos"/>
                <w:b/>
                <w:bCs/>
              </w:rPr>
            </w:pPr>
          </w:p>
        </w:tc>
        <w:tc>
          <w:tcPr>
            <w:tcW w:w="1412" w:type="dxa"/>
            <w:vAlign w:val="center"/>
          </w:tcPr>
          <w:p w14:paraId="0274040A" w14:textId="77777777" w:rsidR="009C12E0" w:rsidRPr="00103EB7" w:rsidRDefault="009C12E0" w:rsidP="006C313A">
            <w:pPr>
              <w:jc w:val="center"/>
              <w:rPr>
                <w:rFonts w:ascii="Aptos" w:hAnsi="Aptos"/>
                <w:b/>
                <w:bCs/>
              </w:rPr>
            </w:pPr>
          </w:p>
        </w:tc>
      </w:tr>
      <w:tr w:rsidR="009C12E0" w:rsidRPr="00103EB7" w14:paraId="48A7A4CA" w14:textId="77777777" w:rsidTr="00600057">
        <w:tc>
          <w:tcPr>
            <w:tcW w:w="2263" w:type="dxa"/>
          </w:tcPr>
          <w:p w14:paraId="1315F312"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Porter et al. </w:t>
            </w:r>
          </w:p>
          <w:p w14:paraId="4C1AA2C0"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2023</w:t>
            </w:r>
          </w:p>
          <w:p w14:paraId="34E275D8"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6ECFADFE" w14:textId="740C8256" w:rsidR="009C12E0" w:rsidRPr="00103EB7" w:rsidRDefault="009C12E0" w:rsidP="00737C0B">
            <w:pPr>
              <w:spacing w:after="0"/>
              <w:rPr>
                <w:rFonts w:ascii="Aptos" w:hAnsi="Aptos"/>
                <w:sz w:val="20"/>
                <w:szCs w:val="20"/>
              </w:rPr>
            </w:pPr>
            <w:r w:rsidRPr="00103EB7">
              <w:rPr>
                <w:rFonts w:ascii="Aptos" w:hAnsi="Aptos"/>
                <w:noProof/>
                <w:sz w:val="20"/>
                <w:szCs w:val="20"/>
              </w:rPr>
              <w:t>[</w:t>
            </w:r>
            <w:r w:rsidR="0078668A">
              <w:rPr>
                <w:rFonts w:ascii="Aptos" w:hAnsi="Aptos"/>
                <w:noProof/>
                <w:sz w:val="20"/>
                <w:szCs w:val="20"/>
              </w:rPr>
              <w:t>5</w:t>
            </w:r>
            <w:r w:rsidRPr="00103EB7">
              <w:rPr>
                <w:rFonts w:ascii="Aptos" w:hAnsi="Aptos"/>
                <w:noProof/>
                <w:sz w:val="20"/>
                <w:szCs w:val="20"/>
              </w:rPr>
              <w:t>]</w:t>
            </w:r>
          </w:p>
        </w:tc>
        <w:tc>
          <w:tcPr>
            <w:tcW w:w="1418" w:type="dxa"/>
          </w:tcPr>
          <w:p w14:paraId="3052D0E7" w14:textId="1523D706" w:rsidR="009C12E0" w:rsidRPr="00B145E5" w:rsidRDefault="00B31604" w:rsidP="00FD4F10">
            <w:pPr>
              <w:rPr>
                <w:rFonts w:ascii="Aptos" w:hAnsi="Aptos"/>
                <w:sz w:val="20"/>
                <w:szCs w:val="20"/>
              </w:rPr>
            </w:pPr>
            <w:r w:rsidRPr="00B145E5">
              <w:rPr>
                <w:rFonts w:ascii="Aptos" w:hAnsi="Aptos"/>
                <w:sz w:val="20"/>
                <w:szCs w:val="20"/>
              </w:rPr>
              <w:t>Primary study</w:t>
            </w:r>
            <w:r w:rsidR="00FD4F10">
              <w:rPr>
                <w:rFonts w:ascii="Aptos" w:hAnsi="Aptos"/>
                <w:sz w:val="20"/>
                <w:szCs w:val="20"/>
              </w:rPr>
              <w:br/>
            </w:r>
            <w:r w:rsidR="009C12E0" w:rsidRPr="00B145E5">
              <w:rPr>
                <w:rFonts w:ascii="Aptos" w:hAnsi="Aptos"/>
                <w:sz w:val="20"/>
                <w:szCs w:val="20"/>
              </w:rPr>
              <w:t>Qualitative</w:t>
            </w:r>
          </w:p>
        </w:tc>
        <w:tc>
          <w:tcPr>
            <w:tcW w:w="1417" w:type="dxa"/>
            <w:vAlign w:val="center"/>
          </w:tcPr>
          <w:p w14:paraId="7424E97C" w14:textId="77777777" w:rsidR="009C12E0" w:rsidRPr="00103EB7" w:rsidRDefault="009C12E0" w:rsidP="006C313A">
            <w:pPr>
              <w:jc w:val="center"/>
              <w:rPr>
                <w:rFonts w:ascii="Aptos" w:hAnsi="Aptos"/>
                <w:b/>
                <w:bCs/>
                <w:sz w:val="20"/>
                <w:szCs w:val="20"/>
              </w:rPr>
            </w:pPr>
          </w:p>
        </w:tc>
        <w:tc>
          <w:tcPr>
            <w:tcW w:w="1276" w:type="dxa"/>
            <w:vAlign w:val="center"/>
          </w:tcPr>
          <w:p w14:paraId="471E2365"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6A40C284"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c>
          <w:tcPr>
            <w:tcW w:w="1412" w:type="dxa"/>
            <w:vAlign w:val="center"/>
          </w:tcPr>
          <w:p w14:paraId="51732036" w14:textId="77777777" w:rsidR="009C12E0" w:rsidRPr="00600057" w:rsidRDefault="009C12E0" w:rsidP="006C313A">
            <w:pPr>
              <w:jc w:val="center"/>
              <w:rPr>
                <w:rFonts w:ascii="Aptos" w:hAnsi="Aptos"/>
                <w:b/>
                <w:bCs/>
                <w:sz w:val="20"/>
                <w:szCs w:val="20"/>
              </w:rPr>
            </w:pPr>
          </w:p>
        </w:tc>
      </w:tr>
      <w:tr w:rsidR="009C12E0" w:rsidRPr="00103EB7" w14:paraId="3AA7B669" w14:textId="77777777" w:rsidTr="00600057">
        <w:tc>
          <w:tcPr>
            <w:tcW w:w="2263" w:type="dxa"/>
          </w:tcPr>
          <w:p w14:paraId="6269A5CF"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Gorenberg et al. </w:t>
            </w:r>
          </w:p>
          <w:p w14:paraId="0A0ADA88"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2023</w:t>
            </w:r>
          </w:p>
          <w:p w14:paraId="5D6E4F33"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6BE12F6A" w14:textId="02EA2CDA" w:rsidR="009C12E0" w:rsidRPr="00103EB7" w:rsidRDefault="009C12E0" w:rsidP="00737C0B">
            <w:pPr>
              <w:spacing w:after="0"/>
              <w:rPr>
                <w:rFonts w:ascii="Aptos" w:hAnsi="Aptos"/>
                <w:sz w:val="20"/>
                <w:szCs w:val="20"/>
              </w:rPr>
            </w:pPr>
            <w:r w:rsidRPr="00103EB7">
              <w:rPr>
                <w:rFonts w:ascii="Aptos" w:hAnsi="Aptos"/>
                <w:noProof/>
                <w:sz w:val="20"/>
                <w:szCs w:val="20"/>
              </w:rPr>
              <w:t>[</w:t>
            </w:r>
            <w:r w:rsidR="004F6B83">
              <w:rPr>
                <w:rFonts w:ascii="Aptos" w:hAnsi="Aptos"/>
                <w:noProof/>
                <w:sz w:val="20"/>
                <w:szCs w:val="20"/>
              </w:rPr>
              <w:t>6</w:t>
            </w:r>
            <w:r w:rsidRPr="00103EB7">
              <w:rPr>
                <w:rFonts w:ascii="Aptos" w:hAnsi="Aptos"/>
                <w:noProof/>
                <w:sz w:val="20"/>
                <w:szCs w:val="20"/>
              </w:rPr>
              <w:t>]</w:t>
            </w:r>
          </w:p>
        </w:tc>
        <w:tc>
          <w:tcPr>
            <w:tcW w:w="1418" w:type="dxa"/>
          </w:tcPr>
          <w:p w14:paraId="38E4F82F" w14:textId="6B04E852" w:rsidR="009C12E0" w:rsidRPr="00B145E5" w:rsidRDefault="00B31604" w:rsidP="00FD4F10">
            <w:pPr>
              <w:rPr>
                <w:rFonts w:ascii="Aptos" w:hAnsi="Aptos"/>
                <w:sz w:val="20"/>
                <w:szCs w:val="20"/>
              </w:rPr>
            </w:pPr>
            <w:r w:rsidRPr="00B145E5">
              <w:rPr>
                <w:rFonts w:ascii="Aptos" w:hAnsi="Aptos"/>
                <w:sz w:val="20"/>
                <w:szCs w:val="20"/>
              </w:rPr>
              <w:t>Primary study</w:t>
            </w:r>
            <w:r w:rsidR="00FD4F10">
              <w:rPr>
                <w:rFonts w:ascii="Aptos" w:hAnsi="Aptos"/>
                <w:sz w:val="20"/>
                <w:szCs w:val="20"/>
              </w:rPr>
              <w:br/>
            </w:r>
            <w:r w:rsidR="009C12E0" w:rsidRPr="00B145E5">
              <w:rPr>
                <w:rFonts w:ascii="Aptos" w:hAnsi="Aptos"/>
                <w:sz w:val="20"/>
                <w:szCs w:val="20"/>
              </w:rPr>
              <w:t>Qualitative</w:t>
            </w:r>
          </w:p>
        </w:tc>
        <w:tc>
          <w:tcPr>
            <w:tcW w:w="1417" w:type="dxa"/>
            <w:vAlign w:val="center"/>
          </w:tcPr>
          <w:p w14:paraId="4311F485" w14:textId="77777777" w:rsidR="009C12E0" w:rsidRPr="00103EB7" w:rsidRDefault="009C12E0" w:rsidP="006C313A">
            <w:pPr>
              <w:jc w:val="center"/>
              <w:rPr>
                <w:rFonts w:ascii="Aptos" w:hAnsi="Aptos"/>
                <w:b/>
                <w:bCs/>
                <w:sz w:val="20"/>
                <w:szCs w:val="20"/>
              </w:rPr>
            </w:pPr>
          </w:p>
        </w:tc>
        <w:tc>
          <w:tcPr>
            <w:tcW w:w="1276" w:type="dxa"/>
            <w:vAlign w:val="center"/>
          </w:tcPr>
          <w:p w14:paraId="22DE7D2B"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4C748ED8"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c>
          <w:tcPr>
            <w:tcW w:w="1412" w:type="dxa"/>
            <w:vAlign w:val="center"/>
          </w:tcPr>
          <w:p w14:paraId="2E98E576" w14:textId="77777777" w:rsidR="009C12E0" w:rsidRPr="00600057" w:rsidRDefault="009C12E0" w:rsidP="006C313A">
            <w:pPr>
              <w:jc w:val="center"/>
              <w:rPr>
                <w:rFonts w:ascii="Aptos" w:hAnsi="Aptos"/>
                <w:b/>
                <w:bCs/>
                <w:sz w:val="20"/>
                <w:szCs w:val="20"/>
              </w:rPr>
            </w:pPr>
          </w:p>
        </w:tc>
      </w:tr>
      <w:tr w:rsidR="009C12E0" w:rsidRPr="00103EB7" w14:paraId="33BF8FB5" w14:textId="77777777" w:rsidTr="00600057">
        <w:tc>
          <w:tcPr>
            <w:tcW w:w="2263" w:type="dxa"/>
          </w:tcPr>
          <w:p w14:paraId="4F0DAC1E"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Poulos et al. </w:t>
            </w:r>
          </w:p>
          <w:p w14:paraId="5A90C9CC"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2019</w:t>
            </w:r>
          </w:p>
          <w:p w14:paraId="7F9A7B36" w14:textId="15E0FD0E"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Australi</w:t>
            </w:r>
            <w:r w:rsidR="00FD4F10">
              <w:rPr>
                <w:rFonts w:ascii="Aptos" w:hAnsi="Aptos"/>
                <w:color w:val="000000"/>
                <w:sz w:val="20"/>
                <w:szCs w:val="20"/>
              </w:rPr>
              <w:t>a</w:t>
            </w:r>
          </w:p>
          <w:p w14:paraId="13764DC4" w14:textId="388397ED" w:rsidR="009C12E0" w:rsidRPr="00103EB7" w:rsidRDefault="009C12E0" w:rsidP="00737C0B">
            <w:pPr>
              <w:spacing w:after="0"/>
              <w:rPr>
                <w:rFonts w:ascii="Aptos" w:hAnsi="Aptos"/>
                <w:sz w:val="20"/>
                <w:szCs w:val="20"/>
              </w:rPr>
            </w:pPr>
            <w:r w:rsidRPr="00103EB7">
              <w:rPr>
                <w:rFonts w:ascii="Aptos" w:hAnsi="Aptos"/>
                <w:noProof/>
                <w:color w:val="000000"/>
                <w:sz w:val="20"/>
                <w:szCs w:val="20"/>
              </w:rPr>
              <w:t>[</w:t>
            </w:r>
            <w:r w:rsidR="004F6B83">
              <w:rPr>
                <w:rFonts w:ascii="Aptos" w:hAnsi="Aptos"/>
                <w:noProof/>
                <w:color w:val="000000"/>
                <w:sz w:val="20"/>
                <w:szCs w:val="20"/>
              </w:rPr>
              <w:t>7</w:t>
            </w:r>
            <w:r w:rsidRPr="00103EB7">
              <w:rPr>
                <w:rFonts w:ascii="Aptos" w:hAnsi="Aptos"/>
                <w:noProof/>
                <w:color w:val="000000"/>
                <w:sz w:val="20"/>
                <w:szCs w:val="20"/>
              </w:rPr>
              <w:t>]</w:t>
            </w:r>
          </w:p>
        </w:tc>
        <w:tc>
          <w:tcPr>
            <w:tcW w:w="1418" w:type="dxa"/>
          </w:tcPr>
          <w:p w14:paraId="3C9213FF" w14:textId="4CE085DD" w:rsidR="009C12E0" w:rsidRPr="006A1C0D" w:rsidRDefault="00B31604" w:rsidP="00B145E5">
            <w:pPr>
              <w:rPr>
                <w:rFonts w:ascii="Aptos" w:hAnsi="Aptos"/>
                <w:sz w:val="16"/>
                <w:szCs w:val="16"/>
              </w:rPr>
            </w:pPr>
            <w:r w:rsidRPr="00B145E5">
              <w:rPr>
                <w:rFonts w:ascii="Aptos" w:hAnsi="Aptos"/>
                <w:sz w:val="20"/>
                <w:szCs w:val="20"/>
              </w:rPr>
              <w:t>Primary study</w:t>
            </w:r>
            <w:r w:rsidR="00B145E5" w:rsidRPr="00B145E5">
              <w:rPr>
                <w:rFonts w:ascii="Aptos" w:hAnsi="Aptos"/>
                <w:sz w:val="20"/>
                <w:szCs w:val="20"/>
              </w:rPr>
              <w:br/>
            </w:r>
            <w:r w:rsidR="006A1C0D" w:rsidRPr="00B145E5">
              <w:rPr>
                <w:rFonts w:ascii="Aptos" w:hAnsi="Aptos"/>
                <w:sz w:val="20"/>
                <w:szCs w:val="20"/>
              </w:rPr>
              <w:t>Quantitative/Qualitative</w:t>
            </w:r>
          </w:p>
        </w:tc>
        <w:tc>
          <w:tcPr>
            <w:tcW w:w="1417" w:type="dxa"/>
            <w:vAlign w:val="center"/>
          </w:tcPr>
          <w:p w14:paraId="4B15F587" w14:textId="77777777" w:rsidR="009C12E0" w:rsidRPr="00103EB7" w:rsidRDefault="009C12E0" w:rsidP="006C313A">
            <w:pPr>
              <w:jc w:val="center"/>
              <w:rPr>
                <w:rFonts w:ascii="Aptos" w:hAnsi="Aptos"/>
                <w:b/>
                <w:bCs/>
                <w:sz w:val="20"/>
                <w:szCs w:val="20"/>
              </w:rPr>
            </w:pPr>
          </w:p>
        </w:tc>
        <w:tc>
          <w:tcPr>
            <w:tcW w:w="1276" w:type="dxa"/>
            <w:vAlign w:val="center"/>
          </w:tcPr>
          <w:p w14:paraId="2479185B"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54A82C81" w14:textId="77777777" w:rsidR="009C12E0" w:rsidRPr="00600057" w:rsidRDefault="009C12E0" w:rsidP="006C313A">
            <w:pPr>
              <w:jc w:val="center"/>
              <w:rPr>
                <w:rFonts w:ascii="Aptos" w:hAnsi="Aptos"/>
                <w:b/>
                <w:bCs/>
                <w:sz w:val="20"/>
                <w:szCs w:val="20"/>
              </w:rPr>
            </w:pPr>
          </w:p>
        </w:tc>
        <w:tc>
          <w:tcPr>
            <w:tcW w:w="1412" w:type="dxa"/>
            <w:vAlign w:val="center"/>
          </w:tcPr>
          <w:p w14:paraId="52C03BB6" w14:textId="77777777" w:rsidR="009C12E0" w:rsidRPr="00600057" w:rsidRDefault="009C12E0" w:rsidP="006C313A">
            <w:pPr>
              <w:jc w:val="center"/>
              <w:rPr>
                <w:rFonts w:ascii="Aptos" w:hAnsi="Aptos"/>
                <w:b/>
                <w:bCs/>
                <w:sz w:val="20"/>
                <w:szCs w:val="20"/>
              </w:rPr>
            </w:pPr>
          </w:p>
        </w:tc>
      </w:tr>
      <w:tr w:rsidR="009C12E0" w:rsidRPr="00103EB7" w14:paraId="58F0A8F5" w14:textId="77777777" w:rsidTr="00600057">
        <w:tc>
          <w:tcPr>
            <w:tcW w:w="2263" w:type="dxa"/>
          </w:tcPr>
          <w:p w14:paraId="56F8DD62"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lastRenderedPageBreak/>
              <w:t xml:space="preserve">Kellezi et al. </w:t>
            </w:r>
          </w:p>
          <w:p w14:paraId="2451CF25"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2019</w:t>
            </w:r>
          </w:p>
          <w:p w14:paraId="71849069"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2633D6F6" w14:textId="3C6367A7" w:rsidR="009C12E0" w:rsidRPr="00103EB7" w:rsidRDefault="009C12E0" w:rsidP="00737C0B">
            <w:pPr>
              <w:spacing w:after="0"/>
              <w:rPr>
                <w:rFonts w:ascii="Aptos" w:hAnsi="Aptos"/>
                <w:sz w:val="20"/>
                <w:szCs w:val="20"/>
              </w:rPr>
            </w:pPr>
            <w:r w:rsidRPr="00103EB7">
              <w:rPr>
                <w:rFonts w:ascii="Aptos" w:hAnsi="Aptos"/>
                <w:noProof/>
                <w:color w:val="000000"/>
                <w:sz w:val="20"/>
                <w:szCs w:val="20"/>
              </w:rPr>
              <w:t>[</w:t>
            </w:r>
            <w:r w:rsidR="00A73431">
              <w:rPr>
                <w:rFonts w:ascii="Aptos" w:hAnsi="Aptos"/>
                <w:noProof/>
                <w:color w:val="000000"/>
                <w:sz w:val="20"/>
                <w:szCs w:val="20"/>
              </w:rPr>
              <w:t>8</w:t>
            </w:r>
            <w:r w:rsidRPr="00103EB7">
              <w:rPr>
                <w:rFonts w:ascii="Aptos" w:hAnsi="Aptos"/>
                <w:noProof/>
                <w:color w:val="000000"/>
                <w:sz w:val="20"/>
                <w:szCs w:val="20"/>
              </w:rPr>
              <w:t>]</w:t>
            </w:r>
          </w:p>
        </w:tc>
        <w:tc>
          <w:tcPr>
            <w:tcW w:w="1418" w:type="dxa"/>
          </w:tcPr>
          <w:p w14:paraId="2DCA6F97" w14:textId="7BA746C7"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Quantitative/Qualitative</w:t>
            </w:r>
          </w:p>
        </w:tc>
        <w:tc>
          <w:tcPr>
            <w:tcW w:w="1417" w:type="dxa"/>
            <w:vAlign w:val="center"/>
          </w:tcPr>
          <w:p w14:paraId="4A27ADA0" w14:textId="77777777" w:rsidR="009C12E0" w:rsidRPr="00103EB7" w:rsidRDefault="009C12E0" w:rsidP="006C313A">
            <w:pPr>
              <w:jc w:val="center"/>
              <w:rPr>
                <w:rFonts w:ascii="Aptos" w:hAnsi="Aptos"/>
                <w:b/>
                <w:bCs/>
                <w:sz w:val="20"/>
                <w:szCs w:val="20"/>
              </w:rPr>
            </w:pPr>
          </w:p>
        </w:tc>
        <w:tc>
          <w:tcPr>
            <w:tcW w:w="1276" w:type="dxa"/>
            <w:vAlign w:val="center"/>
          </w:tcPr>
          <w:p w14:paraId="6F3CAEAF"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06066E6F" w14:textId="77777777" w:rsidR="009C12E0" w:rsidRPr="00600057" w:rsidRDefault="009C12E0" w:rsidP="006C313A">
            <w:pPr>
              <w:jc w:val="center"/>
              <w:rPr>
                <w:rFonts w:ascii="Aptos" w:hAnsi="Aptos"/>
                <w:b/>
                <w:bCs/>
                <w:sz w:val="20"/>
                <w:szCs w:val="20"/>
              </w:rPr>
            </w:pPr>
          </w:p>
        </w:tc>
        <w:tc>
          <w:tcPr>
            <w:tcW w:w="1412" w:type="dxa"/>
            <w:vAlign w:val="center"/>
          </w:tcPr>
          <w:p w14:paraId="3FC7395E" w14:textId="77777777" w:rsidR="009C12E0" w:rsidRPr="00600057" w:rsidRDefault="009C12E0" w:rsidP="006C313A">
            <w:pPr>
              <w:jc w:val="center"/>
              <w:rPr>
                <w:rFonts w:ascii="Aptos" w:hAnsi="Aptos"/>
                <w:b/>
                <w:bCs/>
                <w:sz w:val="20"/>
                <w:szCs w:val="20"/>
              </w:rPr>
            </w:pPr>
          </w:p>
        </w:tc>
      </w:tr>
      <w:tr w:rsidR="009C12E0" w:rsidRPr="00103EB7" w14:paraId="6BFD989A" w14:textId="77777777" w:rsidTr="00600057">
        <w:tc>
          <w:tcPr>
            <w:tcW w:w="2263" w:type="dxa"/>
          </w:tcPr>
          <w:p w14:paraId="238EA8BB"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Thomson et al. </w:t>
            </w:r>
          </w:p>
          <w:p w14:paraId="32EBCCBA"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2018</w:t>
            </w:r>
          </w:p>
          <w:p w14:paraId="1B19B74A"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4B705945" w14:textId="61BD16F6" w:rsidR="009C12E0" w:rsidRPr="00103EB7" w:rsidRDefault="009C12E0" w:rsidP="00737C0B">
            <w:pPr>
              <w:spacing w:after="0"/>
              <w:rPr>
                <w:rFonts w:ascii="Aptos" w:hAnsi="Aptos"/>
                <w:sz w:val="20"/>
                <w:szCs w:val="20"/>
              </w:rPr>
            </w:pPr>
            <w:r w:rsidRPr="00103EB7">
              <w:rPr>
                <w:rFonts w:ascii="Aptos" w:hAnsi="Aptos"/>
                <w:noProof/>
                <w:color w:val="000000"/>
                <w:sz w:val="20"/>
                <w:szCs w:val="20"/>
              </w:rPr>
              <w:t>[</w:t>
            </w:r>
            <w:r w:rsidR="00A73431">
              <w:rPr>
                <w:rFonts w:ascii="Aptos" w:hAnsi="Aptos"/>
                <w:noProof/>
                <w:color w:val="000000"/>
                <w:sz w:val="20"/>
                <w:szCs w:val="20"/>
              </w:rPr>
              <w:t>9</w:t>
            </w:r>
            <w:r w:rsidRPr="00103EB7">
              <w:rPr>
                <w:rFonts w:ascii="Aptos" w:hAnsi="Aptos"/>
                <w:noProof/>
                <w:color w:val="000000"/>
                <w:sz w:val="20"/>
                <w:szCs w:val="20"/>
              </w:rPr>
              <w:t>]</w:t>
            </w:r>
          </w:p>
        </w:tc>
        <w:tc>
          <w:tcPr>
            <w:tcW w:w="1418" w:type="dxa"/>
          </w:tcPr>
          <w:p w14:paraId="301D7D24" w14:textId="1081505F"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Quantitative</w:t>
            </w:r>
          </w:p>
        </w:tc>
        <w:tc>
          <w:tcPr>
            <w:tcW w:w="1417" w:type="dxa"/>
            <w:vAlign w:val="center"/>
          </w:tcPr>
          <w:p w14:paraId="76569615" w14:textId="77777777" w:rsidR="009C12E0" w:rsidRPr="00103EB7" w:rsidRDefault="009C12E0" w:rsidP="006C313A">
            <w:pPr>
              <w:jc w:val="center"/>
              <w:rPr>
                <w:rFonts w:ascii="Aptos" w:hAnsi="Aptos"/>
                <w:b/>
                <w:bCs/>
                <w:sz w:val="20"/>
                <w:szCs w:val="20"/>
              </w:rPr>
            </w:pPr>
          </w:p>
        </w:tc>
        <w:tc>
          <w:tcPr>
            <w:tcW w:w="1276" w:type="dxa"/>
            <w:vAlign w:val="center"/>
          </w:tcPr>
          <w:p w14:paraId="72C892D2"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13B57169" w14:textId="77777777" w:rsidR="009C12E0" w:rsidRPr="00600057" w:rsidRDefault="009C12E0" w:rsidP="006C313A">
            <w:pPr>
              <w:jc w:val="center"/>
              <w:rPr>
                <w:rFonts w:ascii="Aptos" w:hAnsi="Aptos"/>
                <w:b/>
                <w:bCs/>
                <w:sz w:val="20"/>
                <w:szCs w:val="20"/>
              </w:rPr>
            </w:pPr>
          </w:p>
        </w:tc>
        <w:tc>
          <w:tcPr>
            <w:tcW w:w="1412" w:type="dxa"/>
            <w:vAlign w:val="center"/>
          </w:tcPr>
          <w:p w14:paraId="32CC8B02" w14:textId="77777777" w:rsidR="009C12E0" w:rsidRPr="00600057" w:rsidRDefault="009C12E0" w:rsidP="006C313A">
            <w:pPr>
              <w:jc w:val="center"/>
              <w:rPr>
                <w:rFonts w:ascii="Aptos" w:hAnsi="Aptos"/>
                <w:b/>
                <w:bCs/>
                <w:sz w:val="20"/>
                <w:szCs w:val="20"/>
              </w:rPr>
            </w:pPr>
          </w:p>
        </w:tc>
      </w:tr>
      <w:tr w:rsidR="009C12E0" w:rsidRPr="00103EB7" w14:paraId="4D3EE35F" w14:textId="77777777" w:rsidTr="00600057">
        <w:tc>
          <w:tcPr>
            <w:tcW w:w="2263" w:type="dxa"/>
          </w:tcPr>
          <w:p w14:paraId="7AD433B8"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Vogelpoel et al. </w:t>
            </w:r>
          </w:p>
          <w:p w14:paraId="39D109B6"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2014</w:t>
            </w:r>
          </w:p>
          <w:p w14:paraId="236E6C4D"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5E3D9000" w14:textId="22A5AE84" w:rsidR="009C12E0" w:rsidRPr="00103EB7" w:rsidRDefault="009C12E0" w:rsidP="00737C0B">
            <w:pPr>
              <w:spacing w:after="0"/>
              <w:rPr>
                <w:rFonts w:ascii="Aptos" w:hAnsi="Aptos"/>
                <w:sz w:val="20"/>
                <w:szCs w:val="20"/>
              </w:rPr>
            </w:pPr>
            <w:r w:rsidRPr="00103EB7">
              <w:rPr>
                <w:rFonts w:ascii="Aptos" w:hAnsi="Aptos"/>
                <w:noProof/>
                <w:sz w:val="20"/>
                <w:szCs w:val="20"/>
              </w:rPr>
              <w:t>[1</w:t>
            </w:r>
            <w:r w:rsidR="00A73431">
              <w:rPr>
                <w:rFonts w:ascii="Aptos" w:hAnsi="Aptos"/>
                <w:noProof/>
                <w:sz w:val="20"/>
                <w:szCs w:val="20"/>
              </w:rPr>
              <w:t>0</w:t>
            </w:r>
            <w:r w:rsidRPr="00103EB7">
              <w:rPr>
                <w:rFonts w:ascii="Aptos" w:hAnsi="Aptos"/>
                <w:noProof/>
                <w:sz w:val="20"/>
                <w:szCs w:val="20"/>
              </w:rPr>
              <w:t>]</w:t>
            </w:r>
          </w:p>
        </w:tc>
        <w:tc>
          <w:tcPr>
            <w:tcW w:w="1418" w:type="dxa"/>
          </w:tcPr>
          <w:p w14:paraId="7ACA3B85" w14:textId="246D73CD"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Mixed method</w:t>
            </w:r>
          </w:p>
        </w:tc>
        <w:tc>
          <w:tcPr>
            <w:tcW w:w="1417" w:type="dxa"/>
            <w:vAlign w:val="center"/>
          </w:tcPr>
          <w:p w14:paraId="3B5A5042" w14:textId="77777777" w:rsidR="009C12E0" w:rsidRPr="00103EB7" w:rsidRDefault="009C12E0" w:rsidP="006C313A">
            <w:pPr>
              <w:jc w:val="center"/>
              <w:rPr>
                <w:rFonts w:ascii="Aptos" w:hAnsi="Aptos"/>
                <w:b/>
                <w:bCs/>
                <w:sz w:val="20"/>
                <w:szCs w:val="20"/>
              </w:rPr>
            </w:pPr>
          </w:p>
        </w:tc>
        <w:tc>
          <w:tcPr>
            <w:tcW w:w="1276" w:type="dxa"/>
            <w:vAlign w:val="center"/>
          </w:tcPr>
          <w:p w14:paraId="12C5C008"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4764B465" w14:textId="77777777" w:rsidR="009C12E0" w:rsidRPr="00600057" w:rsidRDefault="009C12E0" w:rsidP="006C313A">
            <w:pPr>
              <w:jc w:val="center"/>
              <w:rPr>
                <w:rFonts w:ascii="Aptos" w:hAnsi="Aptos"/>
                <w:b/>
                <w:bCs/>
                <w:sz w:val="20"/>
                <w:szCs w:val="20"/>
              </w:rPr>
            </w:pPr>
          </w:p>
        </w:tc>
        <w:tc>
          <w:tcPr>
            <w:tcW w:w="1412" w:type="dxa"/>
            <w:vAlign w:val="center"/>
          </w:tcPr>
          <w:p w14:paraId="7D695716" w14:textId="77777777" w:rsidR="009C12E0" w:rsidRPr="00600057" w:rsidRDefault="009C12E0" w:rsidP="006C313A">
            <w:pPr>
              <w:jc w:val="center"/>
              <w:rPr>
                <w:rFonts w:ascii="Aptos" w:hAnsi="Aptos"/>
                <w:b/>
                <w:bCs/>
                <w:sz w:val="20"/>
                <w:szCs w:val="20"/>
              </w:rPr>
            </w:pPr>
          </w:p>
        </w:tc>
      </w:tr>
      <w:tr w:rsidR="009C12E0" w:rsidRPr="00103EB7" w14:paraId="0C066ADA" w14:textId="77777777" w:rsidTr="00600057">
        <w:tc>
          <w:tcPr>
            <w:tcW w:w="2263" w:type="dxa"/>
          </w:tcPr>
          <w:p w14:paraId="00A5A170"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Munford et al. </w:t>
            </w:r>
          </w:p>
          <w:p w14:paraId="6D2EE4B5"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2020</w:t>
            </w:r>
          </w:p>
          <w:p w14:paraId="3B08D53D"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7DBAEE04" w14:textId="66C8FBAE" w:rsidR="009C12E0" w:rsidRPr="00103EB7" w:rsidRDefault="009C12E0" w:rsidP="00737C0B">
            <w:pPr>
              <w:spacing w:after="0"/>
              <w:rPr>
                <w:rFonts w:ascii="Aptos" w:hAnsi="Aptos"/>
                <w:sz w:val="20"/>
                <w:szCs w:val="20"/>
              </w:rPr>
            </w:pPr>
            <w:r w:rsidRPr="00103EB7">
              <w:rPr>
                <w:rFonts w:ascii="Aptos" w:hAnsi="Aptos"/>
                <w:noProof/>
                <w:color w:val="000000"/>
                <w:sz w:val="20"/>
                <w:szCs w:val="20"/>
              </w:rPr>
              <w:t>[1</w:t>
            </w:r>
            <w:r w:rsidR="00A73431">
              <w:rPr>
                <w:rFonts w:ascii="Aptos" w:hAnsi="Aptos"/>
                <w:noProof/>
                <w:color w:val="000000"/>
                <w:sz w:val="20"/>
                <w:szCs w:val="20"/>
              </w:rPr>
              <w:t>1</w:t>
            </w:r>
            <w:r w:rsidRPr="00103EB7">
              <w:rPr>
                <w:rFonts w:ascii="Aptos" w:hAnsi="Aptos"/>
                <w:noProof/>
                <w:color w:val="000000"/>
                <w:sz w:val="20"/>
                <w:szCs w:val="20"/>
              </w:rPr>
              <w:t>]</w:t>
            </w:r>
          </w:p>
        </w:tc>
        <w:tc>
          <w:tcPr>
            <w:tcW w:w="1418" w:type="dxa"/>
          </w:tcPr>
          <w:p w14:paraId="074A114F" w14:textId="7C1B03DB"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Quantitative</w:t>
            </w:r>
          </w:p>
        </w:tc>
        <w:tc>
          <w:tcPr>
            <w:tcW w:w="1417" w:type="dxa"/>
            <w:vAlign w:val="center"/>
          </w:tcPr>
          <w:p w14:paraId="3F86AEEF" w14:textId="77777777" w:rsidR="009C12E0" w:rsidRPr="00103EB7" w:rsidRDefault="009C12E0" w:rsidP="006C313A">
            <w:pPr>
              <w:jc w:val="center"/>
              <w:rPr>
                <w:rFonts w:ascii="Aptos" w:hAnsi="Aptos"/>
                <w:b/>
                <w:bCs/>
                <w:sz w:val="20"/>
                <w:szCs w:val="20"/>
              </w:rPr>
            </w:pPr>
          </w:p>
        </w:tc>
        <w:tc>
          <w:tcPr>
            <w:tcW w:w="1276" w:type="dxa"/>
            <w:vAlign w:val="center"/>
          </w:tcPr>
          <w:p w14:paraId="2CF1D93F" w14:textId="77777777" w:rsidR="009C12E0" w:rsidRPr="00103EB7" w:rsidRDefault="009C12E0" w:rsidP="006C313A">
            <w:pPr>
              <w:jc w:val="center"/>
              <w:rPr>
                <w:rFonts w:ascii="Aptos" w:hAnsi="Aptos"/>
                <w:b/>
                <w:bCs/>
                <w:sz w:val="20"/>
                <w:szCs w:val="20"/>
              </w:rPr>
            </w:pPr>
            <w:r w:rsidRPr="00103EB7">
              <w:rPr>
                <w:rFonts w:ascii="Aptos" w:hAnsi="Aptos"/>
                <w:b/>
                <w:bCs/>
                <w:sz w:val="20"/>
                <w:szCs w:val="20"/>
              </w:rPr>
              <w:t>x</w:t>
            </w:r>
          </w:p>
        </w:tc>
        <w:tc>
          <w:tcPr>
            <w:tcW w:w="1276" w:type="dxa"/>
            <w:vAlign w:val="center"/>
          </w:tcPr>
          <w:p w14:paraId="5528183B" w14:textId="77777777" w:rsidR="009C12E0" w:rsidRPr="00600057" w:rsidRDefault="009C12E0" w:rsidP="006C313A">
            <w:pPr>
              <w:jc w:val="center"/>
              <w:rPr>
                <w:rFonts w:ascii="Aptos" w:hAnsi="Aptos"/>
                <w:b/>
                <w:bCs/>
                <w:sz w:val="20"/>
                <w:szCs w:val="20"/>
              </w:rPr>
            </w:pPr>
          </w:p>
        </w:tc>
        <w:tc>
          <w:tcPr>
            <w:tcW w:w="1412" w:type="dxa"/>
            <w:vAlign w:val="center"/>
          </w:tcPr>
          <w:p w14:paraId="7E36812C" w14:textId="77777777" w:rsidR="009C12E0" w:rsidRPr="00600057" w:rsidRDefault="009C12E0" w:rsidP="006C313A">
            <w:pPr>
              <w:jc w:val="center"/>
              <w:rPr>
                <w:rFonts w:ascii="Aptos" w:hAnsi="Aptos"/>
                <w:b/>
                <w:bCs/>
                <w:sz w:val="20"/>
                <w:szCs w:val="20"/>
              </w:rPr>
            </w:pPr>
          </w:p>
        </w:tc>
      </w:tr>
      <w:tr w:rsidR="009C12E0" w:rsidRPr="00103EB7" w14:paraId="581C9AF4" w14:textId="77777777" w:rsidTr="00600057">
        <w:tc>
          <w:tcPr>
            <w:tcW w:w="2263" w:type="dxa"/>
          </w:tcPr>
          <w:p w14:paraId="6D3DD607"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Orellana et al. </w:t>
            </w:r>
          </w:p>
          <w:p w14:paraId="7848CA84"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2020</w:t>
            </w:r>
          </w:p>
          <w:p w14:paraId="1B8E3373"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13895899" w14:textId="0FAB2D8E" w:rsidR="009C12E0" w:rsidRPr="00103EB7" w:rsidRDefault="009C12E0" w:rsidP="00737C0B">
            <w:pPr>
              <w:spacing w:after="0"/>
              <w:rPr>
                <w:rFonts w:ascii="Aptos" w:hAnsi="Aptos"/>
                <w:sz w:val="20"/>
                <w:szCs w:val="20"/>
              </w:rPr>
            </w:pPr>
            <w:r w:rsidRPr="00103EB7">
              <w:rPr>
                <w:rFonts w:ascii="Aptos" w:hAnsi="Aptos"/>
                <w:noProof/>
                <w:color w:val="000000"/>
                <w:sz w:val="20"/>
                <w:szCs w:val="20"/>
              </w:rPr>
              <w:t>[1</w:t>
            </w:r>
            <w:r w:rsidR="00DD71CD">
              <w:rPr>
                <w:rFonts w:ascii="Aptos" w:hAnsi="Aptos"/>
                <w:noProof/>
                <w:color w:val="000000"/>
                <w:sz w:val="20"/>
                <w:szCs w:val="20"/>
              </w:rPr>
              <w:t>2</w:t>
            </w:r>
            <w:r w:rsidRPr="00103EB7">
              <w:rPr>
                <w:rFonts w:ascii="Aptos" w:hAnsi="Aptos"/>
                <w:noProof/>
                <w:color w:val="000000"/>
                <w:sz w:val="20"/>
                <w:szCs w:val="20"/>
              </w:rPr>
              <w:t>]</w:t>
            </w:r>
          </w:p>
        </w:tc>
        <w:tc>
          <w:tcPr>
            <w:tcW w:w="1418" w:type="dxa"/>
          </w:tcPr>
          <w:p w14:paraId="248F7350" w14:textId="1AF4BF0C"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Mixe</w:t>
            </w:r>
            <w:r w:rsidR="00FD4F10">
              <w:rPr>
                <w:rFonts w:ascii="Aptos" w:hAnsi="Aptos"/>
                <w:sz w:val="20"/>
                <w:szCs w:val="20"/>
              </w:rPr>
              <w:t>d</w:t>
            </w:r>
            <w:r w:rsidR="00FD4F10">
              <w:rPr>
                <w:rFonts w:ascii="Aptos" w:hAnsi="Aptos"/>
                <w:sz w:val="20"/>
                <w:szCs w:val="20"/>
              </w:rPr>
              <w:br/>
            </w:r>
            <w:r w:rsidR="009C12E0" w:rsidRPr="00103EB7">
              <w:rPr>
                <w:rFonts w:ascii="Aptos" w:hAnsi="Aptos"/>
                <w:sz w:val="20"/>
                <w:szCs w:val="20"/>
              </w:rPr>
              <w:t>method</w:t>
            </w:r>
          </w:p>
        </w:tc>
        <w:tc>
          <w:tcPr>
            <w:tcW w:w="1417" w:type="dxa"/>
            <w:vAlign w:val="center"/>
          </w:tcPr>
          <w:p w14:paraId="2E479BCE" w14:textId="77777777" w:rsidR="009C12E0" w:rsidRPr="00103EB7" w:rsidRDefault="009C12E0" w:rsidP="00737C0B">
            <w:pPr>
              <w:spacing w:after="0"/>
              <w:jc w:val="center"/>
              <w:rPr>
                <w:rFonts w:ascii="Aptos" w:hAnsi="Aptos"/>
                <w:b/>
                <w:bCs/>
                <w:sz w:val="20"/>
                <w:szCs w:val="20"/>
              </w:rPr>
            </w:pPr>
          </w:p>
        </w:tc>
        <w:tc>
          <w:tcPr>
            <w:tcW w:w="1276" w:type="dxa"/>
            <w:vAlign w:val="center"/>
          </w:tcPr>
          <w:p w14:paraId="0C30FC37" w14:textId="77777777" w:rsidR="009C12E0" w:rsidRPr="00103EB7" w:rsidRDefault="009C12E0" w:rsidP="00737C0B">
            <w:pPr>
              <w:spacing w:after="0"/>
              <w:jc w:val="center"/>
              <w:rPr>
                <w:rFonts w:ascii="Aptos" w:hAnsi="Aptos"/>
                <w:b/>
                <w:bCs/>
                <w:sz w:val="20"/>
                <w:szCs w:val="20"/>
              </w:rPr>
            </w:pPr>
          </w:p>
        </w:tc>
        <w:tc>
          <w:tcPr>
            <w:tcW w:w="1276" w:type="dxa"/>
            <w:vAlign w:val="center"/>
          </w:tcPr>
          <w:p w14:paraId="4E487D4E" w14:textId="77777777" w:rsidR="009C12E0" w:rsidRPr="00600057" w:rsidRDefault="009C12E0" w:rsidP="00737C0B">
            <w:pPr>
              <w:spacing w:after="0"/>
              <w:jc w:val="center"/>
              <w:rPr>
                <w:rFonts w:ascii="Aptos" w:hAnsi="Aptos"/>
                <w:b/>
                <w:bCs/>
                <w:sz w:val="20"/>
                <w:szCs w:val="20"/>
              </w:rPr>
            </w:pPr>
          </w:p>
        </w:tc>
        <w:tc>
          <w:tcPr>
            <w:tcW w:w="1412" w:type="dxa"/>
            <w:vAlign w:val="center"/>
          </w:tcPr>
          <w:p w14:paraId="4DFC036F" w14:textId="77777777" w:rsidR="009C12E0" w:rsidRPr="00600057" w:rsidRDefault="009C12E0" w:rsidP="00737C0B">
            <w:pPr>
              <w:spacing w:after="0"/>
              <w:jc w:val="center"/>
              <w:rPr>
                <w:rFonts w:ascii="Aptos" w:hAnsi="Aptos"/>
                <w:b/>
                <w:bCs/>
                <w:sz w:val="20"/>
                <w:szCs w:val="20"/>
              </w:rPr>
            </w:pPr>
            <w:r w:rsidRPr="00600057">
              <w:rPr>
                <w:rFonts w:ascii="Aptos" w:hAnsi="Aptos"/>
                <w:b/>
                <w:bCs/>
                <w:sz w:val="20"/>
                <w:szCs w:val="20"/>
              </w:rPr>
              <w:t>x</w:t>
            </w:r>
          </w:p>
        </w:tc>
      </w:tr>
      <w:tr w:rsidR="009C12E0" w:rsidRPr="00103EB7" w14:paraId="58EDAFC6" w14:textId="77777777" w:rsidTr="00131AB9">
        <w:trPr>
          <w:trHeight w:val="1084"/>
        </w:trPr>
        <w:tc>
          <w:tcPr>
            <w:tcW w:w="2263" w:type="dxa"/>
          </w:tcPr>
          <w:p w14:paraId="5C71767A"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Jones et al. </w:t>
            </w:r>
          </w:p>
          <w:p w14:paraId="07DB1F7C"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2020</w:t>
            </w:r>
          </w:p>
          <w:p w14:paraId="7C538081"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05FA393C" w14:textId="286C17A0" w:rsidR="009C12E0" w:rsidRPr="00103EB7" w:rsidRDefault="009C12E0" w:rsidP="00737C0B">
            <w:pPr>
              <w:spacing w:after="0"/>
              <w:rPr>
                <w:rFonts w:ascii="Aptos" w:hAnsi="Aptos"/>
                <w:sz w:val="20"/>
                <w:szCs w:val="20"/>
              </w:rPr>
            </w:pPr>
            <w:r w:rsidRPr="00103EB7">
              <w:rPr>
                <w:rFonts w:ascii="Aptos" w:hAnsi="Aptos"/>
                <w:noProof/>
                <w:color w:val="000000"/>
                <w:sz w:val="20"/>
                <w:szCs w:val="20"/>
              </w:rPr>
              <w:t>[1</w:t>
            </w:r>
            <w:r w:rsidR="00B5086D">
              <w:rPr>
                <w:rFonts w:ascii="Aptos" w:hAnsi="Aptos"/>
                <w:noProof/>
                <w:color w:val="000000"/>
                <w:sz w:val="20"/>
                <w:szCs w:val="20"/>
              </w:rPr>
              <w:t>3</w:t>
            </w:r>
            <w:r w:rsidRPr="00103EB7">
              <w:rPr>
                <w:rFonts w:ascii="Aptos" w:hAnsi="Aptos"/>
                <w:noProof/>
                <w:color w:val="000000"/>
                <w:sz w:val="20"/>
                <w:szCs w:val="20"/>
              </w:rPr>
              <w:t>]</w:t>
            </w:r>
          </w:p>
        </w:tc>
        <w:tc>
          <w:tcPr>
            <w:tcW w:w="1418" w:type="dxa"/>
          </w:tcPr>
          <w:p w14:paraId="6B727747" w14:textId="4D8D66DE"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Quantitative</w:t>
            </w:r>
          </w:p>
        </w:tc>
        <w:tc>
          <w:tcPr>
            <w:tcW w:w="1417" w:type="dxa"/>
            <w:vAlign w:val="center"/>
          </w:tcPr>
          <w:p w14:paraId="2156DFBF" w14:textId="77777777" w:rsidR="009C12E0" w:rsidRPr="00103EB7" w:rsidRDefault="009C12E0" w:rsidP="006C313A">
            <w:pPr>
              <w:jc w:val="center"/>
              <w:rPr>
                <w:rFonts w:ascii="Aptos" w:hAnsi="Aptos"/>
                <w:b/>
                <w:bCs/>
                <w:sz w:val="20"/>
                <w:szCs w:val="20"/>
              </w:rPr>
            </w:pPr>
          </w:p>
        </w:tc>
        <w:tc>
          <w:tcPr>
            <w:tcW w:w="1276" w:type="dxa"/>
            <w:vAlign w:val="center"/>
          </w:tcPr>
          <w:p w14:paraId="1CD26D18" w14:textId="77777777" w:rsidR="009C12E0" w:rsidRPr="00103EB7" w:rsidRDefault="009C12E0" w:rsidP="006C313A">
            <w:pPr>
              <w:jc w:val="center"/>
              <w:rPr>
                <w:rFonts w:ascii="Aptos" w:hAnsi="Aptos"/>
                <w:b/>
                <w:bCs/>
                <w:sz w:val="20"/>
                <w:szCs w:val="20"/>
              </w:rPr>
            </w:pPr>
          </w:p>
        </w:tc>
        <w:tc>
          <w:tcPr>
            <w:tcW w:w="1276" w:type="dxa"/>
            <w:vAlign w:val="center"/>
          </w:tcPr>
          <w:p w14:paraId="4FAFE8DE" w14:textId="77777777" w:rsidR="009C12E0" w:rsidRPr="00600057" w:rsidRDefault="009C12E0" w:rsidP="006C313A">
            <w:pPr>
              <w:jc w:val="center"/>
              <w:rPr>
                <w:rFonts w:ascii="Aptos" w:hAnsi="Aptos"/>
                <w:b/>
                <w:bCs/>
                <w:sz w:val="20"/>
                <w:szCs w:val="20"/>
              </w:rPr>
            </w:pPr>
          </w:p>
        </w:tc>
        <w:tc>
          <w:tcPr>
            <w:tcW w:w="1412" w:type="dxa"/>
            <w:vAlign w:val="center"/>
          </w:tcPr>
          <w:p w14:paraId="2A855A80"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r>
      <w:tr w:rsidR="009C12E0" w:rsidRPr="00103EB7" w14:paraId="7AB8CD60" w14:textId="77777777" w:rsidTr="00600057">
        <w:tc>
          <w:tcPr>
            <w:tcW w:w="2263" w:type="dxa"/>
          </w:tcPr>
          <w:p w14:paraId="317D1F83"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Loftus et al.</w:t>
            </w:r>
          </w:p>
          <w:p w14:paraId="282EC39A"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2017</w:t>
            </w:r>
          </w:p>
          <w:p w14:paraId="2512AAB6"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241881BE" w14:textId="5D28DF2B" w:rsidR="00103EB7" w:rsidRPr="00103EB7" w:rsidRDefault="009C12E0" w:rsidP="00103EB7">
            <w:pPr>
              <w:spacing w:after="0"/>
              <w:rPr>
                <w:rFonts w:ascii="Aptos" w:hAnsi="Aptos"/>
                <w:sz w:val="20"/>
                <w:szCs w:val="20"/>
              </w:rPr>
            </w:pPr>
            <w:r w:rsidRPr="00103EB7">
              <w:rPr>
                <w:rFonts w:ascii="Aptos" w:hAnsi="Aptos"/>
                <w:noProof/>
                <w:color w:val="000000"/>
                <w:sz w:val="20"/>
                <w:szCs w:val="20"/>
              </w:rPr>
              <w:t>[1</w:t>
            </w:r>
            <w:r w:rsidR="008E51B7">
              <w:rPr>
                <w:rFonts w:ascii="Aptos" w:hAnsi="Aptos"/>
                <w:noProof/>
                <w:color w:val="000000"/>
                <w:sz w:val="20"/>
                <w:szCs w:val="20"/>
              </w:rPr>
              <w:t>4</w:t>
            </w:r>
            <w:r w:rsidRPr="00103EB7">
              <w:rPr>
                <w:rFonts w:ascii="Aptos" w:hAnsi="Aptos"/>
                <w:noProof/>
                <w:color w:val="000000"/>
                <w:sz w:val="20"/>
                <w:szCs w:val="20"/>
              </w:rPr>
              <w:t>]</w:t>
            </w:r>
          </w:p>
        </w:tc>
        <w:tc>
          <w:tcPr>
            <w:tcW w:w="1418" w:type="dxa"/>
          </w:tcPr>
          <w:p w14:paraId="44CF1163" w14:textId="36E09F42" w:rsidR="009C12E0" w:rsidRPr="00103EB7" w:rsidRDefault="00600057"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Pr="00103EB7">
              <w:rPr>
                <w:rFonts w:ascii="Aptos" w:hAnsi="Aptos"/>
                <w:sz w:val="20"/>
                <w:szCs w:val="20"/>
              </w:rPr>
              <w:t>Quantitative</w:t>
            </w:r>
          </w:p>
        </w:tc>
        <w:tc>
          <w:tcPr>
            <w:tcW w:w="1417" w:type="dxa"/>
            <w:vAlign w:val="center"/>
          </w:tcPr>
          <w:p w14:paraId="56DACBA5" w14:textId="77777777" w:rsidR="009C12E0" w:rsidRPr="00103EB7" w:rsidRDefault="009C12E0" w:rsidP="006C313A">
            <w:pPr>
              <w:jc w:val="center"/>
              <w:rPr>
                <w:rFonts w:ascii="Aptos" w:hAnsi="Aptos"/>
                <w:b/>
                <w:bCs/>
                <w:sz w:val="20"/>
                <w:szCs w:val="20"/>
              </w:rPr>
            </w:pPr>
          </w:p>
        </w:tc>
        <w:tc>
          <w:tcPr>
            <w:tcW w:w="1276" w:type="dxa"/>
            <w:vAlign w:val="center"/>
          </w:tcPr>
          <w:p w14:paraId="22C35A20" w14:textId="77777777" w:rsidR="009C12E0" w:rsidRPr="00103EB7" w:rsidRDefault="009C12E0" w:rsidP="006C313A">
            <w:pPr>
              <w:jc w:val="center"/>
              <w:rPr>
                <w:rFonts w:ascii="Aptos" w:hAnsi="Aptos"/>
                <w:b/>
                <w:bCs/>
                <w:sz w:val="20"/>
                <w:szCs w:val="20"/>
              </w:rPr>
            </w:pPr>
          </w:p>
        </w:tc>
        <w:tc>
          <w:tcPr>
            <w:tcW w:w="1276" w:type="dxa"/>
            <w:vAlign w:val="center"/>
          </w:tcPr>
          <w:p w14:paraId="3B6547A8" w14:textId="77777777" w:rsidR="009C12E0" w:rsidRPr="00600057" w:rsidRDefault="009C12E0" w:rsidP="006C313A">
            <w:pPr>
              <w:jc w:val="center"/>
              <w:rPr>
                <w:rFonts w:ascii="Aptos" w:hAnsi="Aptos"/>
                <w:b/>
                <w:bCs/>
                <w:sz w:val="20"/>
                <w:szCs w:val="20"/>
              </w:rPr>
            </w:pPr>
          </w:p>
        </w:tc>
        <w:tc>
          <w:tcPr>
            <w:tcW w:w="1412" w:type="dxa"/>
            <w:vAlign w:val="center"/>
          </w:tcPr>
          <w:p w14:paraId="377ABD31"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r>
      <w:tr w:rsidR="009C12E0" w:rsidRPr="00267AC6" w14:paraId="40101511" w14:textId="77777777" w:rsidTr="61ED3D32">
        <w:tc>
          <w:tcPr>
            <w:tcW w:w="9062" w:type="dxa"/>
            <w:gridSpan w:val="6"/>
            <w:shd w:val="clear" w:color="auto" w:fill="EAEDF1"/>
          </w:tcPr>
          <w:p w14:paraId="1EABCE25" w14:textId="6B855B2D" w:rsidR="009C12E0" w:rsidRPr="00267AC6" w:rsidRDefault="009C12E0" w:rsidP="006C313A">
            <w:pPr>
              <w:jc w:val="center"/>
              <w:rPr>
                <w:rFonts w:ascii="Aptos" w:hAnsi="Aptos"/>
                <w:b/>
                <w:bCs/>
                <w:color w:val="FF0000"/>
                <w:sz w:val="20"/>
                <w:szCs w:val="20"/>
                <w:lang w:val="en-US"/>
              </w:rPr>
            </w:pPr>
            <w:r w:rsidRPr="00267AC6">
              <w:rPr>
                <w:rFonts w:ascii="Aptos" w:hAnsi="Aptos"/>
                <w:b/>
                <w:bCs/>
                <w:sz w:val="20"/>
                <w:szCs w:val="20"/>
                <w:lang w:val="en-US"/>
              </w:rPr>
              <w:t>Population</w:t>
            </w:r>
            <w:r w:rsidR="007B1B4B">
              <w:rPr>
                <w:rFonts w:ascii="Aptos" w:hAnsi="Aptos"/>
                <w:b/>
                <w:bCs/>
                <w:sz w:val="20"/>
                <w:szCs w:val="20"/>
                <w:lang w:val="en-US"/>
              </w:rPr>
              <w:t>;</w:t>
            </w:r>
            <w:r w:rsidRPr="00267AC6">
              <w:rPr>
                <w:rFonts w:ascii="Aptos" w:hAnsi="Aptos"/>
                <w:b/>
                <w:bCs/>
                <w:sz w:val="20"/>
                <w:szCs w:val="20"/>
                <w:lang w:val="en-US"/>
              </w:rPr>
              <w:t xml:space="preserve"> </w:t>
            </w:r>
            <w:r w:rsidR="005D0745" w:rsidRPr="00267AC6">
              <w:rPr>
                <w:rFonts w:ascii="Aptos" w:hAnsi="Aptos"/>
                <w:b/>
                <w:bCs/>
                <w:sz w:val="20"/>
                <w:szCs w:val="20"/>
                <w:lang w:val="en-US"/>
              </w:rPr>
              <w:t>occupational groups</w:t>
            </w:r>
            <w:r w:rsidR="005D0745" w:rsidRPr="00267AC6">
              <w:rPr>
                <w:rFonts w:ascii="Aptos" w:hAnsi="Aptos"/>
                <w:b/>
                <w:bCs/>
                <w:sz w:val="20"/>
                <w:szCs w:val="20"/>
                <w:lang w:val="en-US"/>
              </w:rPr>
              <w:t xml:space="preserve"> </w:t>
            </w:r>
            <w:r w:rsidR="002C48FD" w:rsidRPr="00267AC6">
              <w:rPr>
                <w:rFonts w:ascii="Aptos" w:hAnsi="Aptos"/>
                <w:b/>
                <w:bCs/>
                <w:sz w:val="20"/>
                <w:szCs w:val="20"/>
                <w:lang w:val="en-US"/>
              </w:rPr>
              <w:t>working with SP</w:t>
            </w:r>
            <w:r w:rsidR="00E233B0" w:rsidRPr="00267AC6">
              <w:rPr>
                <w:b/>
                <w:bCs/>
                <w:lang w:val="en-US"/>
              </w:rPr>
              <w:t xml:space="preserve"> </w:t>
            </w:r>
          </w:p>
        </w:tc>
      </w:tr>
      <w:tr w:rsidR="009C12E0" w:rsidRPr="00103EB7" w14:paraId="2E651332" w14:textId="77777777" w:rsidTr="00600057">
        <w:tc>
          <w:tcPr>
            <w:tcW w:w="2263" w:type="dxa"/>
          </w:tcPr>
          <w:p w14:paraId="725CB824" w14:textId="77777777" w:rsidR="009C12E0" w:rsidRPr="00103EB7" w:rsidRDefault="009C12E0" w:rsidP="00737C0B">
            <w:pPr>
              <w:spacing w:after="0"/>
              <w:rPr>
                <w:rFonts w:ascii="Aptos" w:hAnsi="Aptos"/>
                <w:sz w:val="20"/>
                <w:szCs w:val="20"/>
                <w:lang w:val="en-US"/>
              </w:rPr>
            </w:pPr>
            <w:r w:rsidRPr="00103EB7">
              <w:rPr>
                <w:rFonts w:ascii="Aptos" w:hAnsi="Aptos"/>
                <w:sz w:val="20"/>
                <w:szCs w:val="20"/>
                <w:lang w:val="en-US"/>
              </w:rPr>
              <w:t xml:space="preserve">Kiely et al. </w:t>
            </w:r>
          </w:p>
          <w:p w14:paraId="6A1126E0" w14:textId="77777777" w:rsidR="009C12E0" w:rsidRPr="00103EB7" w:rsidRDefault="009C12E0" w:rsidP="00737C0B">
            <w:pPr>
              <w:spacing w:after="0"/>
              <w:rPr>
                <w:rFonts w:ascii="Aptos" w:hAnsi="Aptos"/>
                <w:sz w:val="20"/>
                <w:szCs w:val="20"/>
                <w:lang w:val="en-US"/>
              </w:rPr>
            </w:pPr>
            <w:r w:rsidRPr="00103EB7">
              <w:rPr>
                <w:rFonts w:ascii="Aptos" w:hAnsi="Aptos"/>
                <w:sz w:val="20"/>
                <w:szCs w:val="20"/>
                <w:lang w:val="en-US"/>
              </w:rPr>
              <w:t xml:space="preserve">2022 </w:t>
            </w:r>
          </w:p>
          <w:p w14:paraId="2F0D4B7F" w14:textId="6D9286F7" w:rsidR="009C12E0" w:rsidRPr="00103EB7" w:rsidRDefault="00FD4F10" w:rsidP="00737C0B">
            <w:pPr>
              <w:spacing w:after="0"/>
              <w:rPr>
                <w:rFonts w:ascii="Aptos" w:hAnsi="Aptos"/>
                <w:sz w:val="20"/>
                <w:szCs w:val="20"/>
                <w:lang w:val="en-US"/>
              </w:rPr>
            </w:pPr>
            <w:r w:rsidRPr="00103EB7">
              <w:rPr>
                <w:rFonts w:ascii="Aptos" w:hAnsi="Aptos"/>
                <w:sz w:val="20"/>
                <w:szCs w:val="20"/>
                <w:lang w:val="en-US"/>
              </w:rPr>
              <w:t>Ireland</w:t>
            </w:r>
          </w:p>
          <w:p w14:paraId="2C162519" w14:textId="2D5F9787" w:rsidR="009C12E0" w:rsidRPr="00103EB7" w:rsidRDefault="009C12E0" w:rsidP="00737C0B">
            <w:pPr>
              <w:spacing w:after="0"/>
              <w:rPr>
                <w:rFonts w:ascii="Aptos" w:hAnsi="Aptos"/>
                <w:color w:val="FF0000"/>
                <w:sz w:val="20"/>
                <w:szCs w:val="20"/>
                <w:lang w:val="en-US"/>
              </w:rPr>
            </w:pPr>
            <w:r w:rsidRPr="00103EB7">
              <w:rPr>
                <w:rFonts w:ascii="Aptos" w:hAnsi="Aptos"/>
                <w:noProof/>
                <w:sz w:val="20"/>
                <w:szCs w:val="20"/>
                <w:lang w:val="en-US"/>
              </w:rPr>
              <w:t>[</w:t>
            </w:r>
            <w:r w:rsidR="00131AB9">
              <w:rPr>
                <w:rFonts w:ascii="Aptos" w:hAnsi="Aptos"/>
                <w:noProof/>
                <w:sz w:val="20"/>
                <w:szCs w:val="20"/>
                <w:lang w:val="en-US"/>
              </w:rPr>
              <w:t>3</w:t>
            </w:r>
            <w:r w:rsidRPr="00103EB7">
              <w:rPr>
                <w:rFonts w:ascii="Aptos" w:hAnsi="Aptos"/>
                <w:noProof/>
                <w:sz w:val="20"/>
                <w:szCs w:val="20"/>
                <w:lang w:val="en-US"/>
              </w:rPr>
              <w:t>]</w:t>
            </w:r>
          </w:p>
        </w:tc>
        <w:tc>
          <w:tcPr>
            <w:tcW w:w="1418" w:type="dxa"/>
          </w:tcPr>
          <w:p w14:paraId="689A0161" w14:textId="77777777" w:rsidR="009C12E0" w:rsidRPr="00103EB7" w:rsidRDefault="009C12E0" w:rsidP="006C313A">
            <w:pPr>
              <w:rPr>
                <w:rFonts w:ascii="Aptos" w:hAnsi="Aptos"/>
                <w:sz w:val="20"/>
                <w:szCs w:val="20"/>
                <w:lang w:val="en-US"/>
              </w:rPr>
            </w:pPr>
            <w:r w:rsidRPr="00103EB7">
              <w:rPr>
                <w:rFonts w:ascii="Aptos" w:hAnsi="Aptos"/>
                <w:sz w:val="20"/>
                <w:szCs w:val="20"/>
                <w:lang w:val="en-US"/>
              </w:rPr>
              <w:t>Systematic review</w:t>
            </w:r>
          </w:p>
        </w:tc>
        <w:tc>
          <w:tcPr>
            <w:tcW w:w="1417" w:type="dxa"/>
            <w:vAlign w:val="center"/>
          </w:tcPr>
          <w:p w14:paraId="7733C325" w14:textId="77777777" w:rsidR="009C12E0" w:rsidRPr="00103EB7" w:rsidRDefault="009C12E0" w:rsidP="006C313A">
            <w:pPr>
              <w:jc w:val="center"/>
              <w:rPr>
                <w:rFonts w:ascii="Aptos" w:hAnsi="Aptos"/>
                <w:b/>
                <w:bCs/>
                <w:sz w:val="20"/>
                <w:szCs w:val="20"/>
                <w:lang w:val="en-US"/>
              </w:rPr>
            </w:pPr>
          </w:p>
        </w:tc>
        <w:tc>
          <w:tcPr>
            <w:tcW w:w="1276" w:type="dxa"/>
            <w:vAlign w:val="center"/>
          </w:tcPr>
          <w:p w14:paraId="17D26BA3" w14:textId="77777777" w:rsidR="009C12E0" w:rsidRPr="00103EB7" w:rsidRDefault="009C12E0" w:rsidP="006C313A">
            <w:pPr>
              <w:jc w:val="center"/>
              <w:rPr>
                <w:rFonts w:ascii="Aptos" w:hAnsi="Aptos"/>
                <w:b/>
                <w:bCs/>
                <w:sz w:val="20"/>
                <w:szCs w:val="20"/>
                <w:lang w:val="en-US"/>
              </w:rPr>
            </w:pPr>
          </w:p>
        </w:tc>
        <w:tc>
          <w:tcPr>
            <w:tcW w:w="1276" w:type="dxa"/>
            <w:vAlign w:val="center"/>
          </w:tcPr>
          <w:p w14:paraId="7E78162A" w14:textId="77777777" w:rsidR="009C12E0" w:rsidRPr="00600057" w:rsidRDefault="009C12E0" w:rsidP="006C313A">
            <w:pPr>
              <w:jc w:val="center"/>
              <w:rPr>
                <w:rFonts w:ascii="Aptos" w:hAnsi="Aptos"/>
                <w:b/>
                <w:bCs/>
                <w:sz w:val="20"/>
                <w:szCs w:val="20"/>
                <w:lang w:val="en-US"/>
              </w:rPr>
            </w:pPr>
            <w:r w:rsidRPr="00600057">
              <w:rPr>
                <w:rFonts w:ascii="Aptos" w:hAnsi="Aptos"/>
                <w:b/>
                <w:bCs/>
                <w:sz w:val="20"/>
                <w:szCs w:val="20"/>
                <w:lang w:val="en-US"/>
              </w:rPr>
              <w:t>x</w:t>
            </w:r>
          </w:p>
        </w:tc>
        <w:tc>
          <w:tcPr>
            <w:tcW w:w="1412" w:type="dxa"/>
            <w:vAlign w:val="center"/>
          </w:tcPr>
          <w:p w14:paraId="5FF7542C" w14:textId="77777777" w:rsidR="009C12E0" w:rsidRPr="00103EB7" w:rsidRDefault="009C12E0" w:rsidP="006C313A">
            <w:pPr>
              <w:jc w:val="center"/>
              <w:rPr>
                <w:rFonts w:ascii="Aptos" w:hAnsi="Aptos"/>
                <w:color w:val="FF0000"/>
                <w:lang w:val="en-US"/>
              </w:rPr>
            </w:pPr>
          </w:p>
        </w:tc>
      </w:tr>
      <w:tr w:rsidR="009C12E0" w:rsidRPr="00103EB7" w14:paraId="48AC4389" w14:textId="77777777" w:rsidTr="00600057">
        <w:tc>
          <w:tcPr>
            <w:tcW w:w="2263" w:type="dxa"/>
          </w:tcPr>
          <w:p w14:paraId="45C982D4"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Costa et al. </w:t>
            </w:r>
          </w:p>
          <w:p w14:paraId="5EACCBE4"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2024</w:t>
            </w:r>
          </w:p>
          <w:p w14:paraId="2616D19B"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Portugal</w:t>
            </w:r>
          </w:p>
          <w:p w14:paraId="5473F0BD" w14:textId="5CE71B8B" w:rsidR="009C12E0" w:rsidRPr="00103EB7" w:rsidRDefault="009C12E0" w:rsidP="00737C0B">
            <w:pPr>
              <w:spacing w:after="0"/>
              <w:rPr>
                <w:rFonts w:ascii="Aptos" w:hAnsi="Aptos"/>
                <w:sz w:val="20"/>
                <w:szCs w:val="20"/>
              </w:rPr>
            </w:pPr>
            <w:r w:rsidRPr="00103EB7">
              <w:rPr>
                <w:rFonts w:ascii="Aptos" w:hAnsi="Aptos"/>
                <w:noProof/>
                <w:sz w:val="20"/>
                <w:szCs w:val="20"/>
              </w:rPr>
              <w:t>[</w:t>
            </w:r>
            <w:r w:rsidR="00131AB9">
              <w:rPr>
                <w:rFonts w:ascii="Aptos" w:hAnsi="Aptos"/>
                <w:noProof/>
                <w:sz w:val="20"/>
                <w:szCs w:val="20"/>
              </w:rPr>
              <w:t>15</w:t>
            </w:r>
            <w:r w:rsidRPr="00103EB7">
              <w:rPr>
                <w:rFonts w:ascii="Aptos" w:hAnsi="Aptos"/>
                <w:noProof/>
                <w:sz w:val="20"/>
                <w:szCs w:val="20"/>
              </w:rPr>
              <w:t>]</w:t>
            </w:r>
          </w:p>
        </w:tc>
        <w:tc>
          <w:tcPr>
            <w:tcW w:w="1418" w:type="dxa"/>
          </w:tcPr>
          <w:p w14:paraId="7EE75CCC" w14:textId="00460884"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Quantitative</w:t>
            </w:r>
          </w:p>
        </w:tc>
        <w:tc>
          <w:tcPr>
            <w:tcW w:w="1417" w:type="dxa"/>
            <w:vAlign w:val="center"/>
          </w:tcPr>
          <w:p w14:paraId="0CDFEBA8" w14:textId="77777777" w:rsidR="009C12E0" w:rsidRPr="00103EB7" w:rsidRDefault="009C12E0" w:rsidP="006C313A">
            <w:pPr>
              <w:jc w:val="center"/>
              <w:rPr>
                <w:rFonts w:ascii="Aptos" w:hAnsi="Aptos"/>
                <w:b/>
                <w:bCs/>
                <w:sz w:val="20"/>
                <w:szCs w:val="20"/>
              </w:rPr>
            </w:pPr>
          </w:p>
        </w:tc>
        <w:tc>
          <w:tcPr>
            <w:tcW w:w="1276" w:type="dxa"/>
            <w:vAlign w:val="center"/>
          </w:tcPr>
          <w:p w14:paraId="05605517" w14:textId="77777777" w:rsidR="009C12E0" w:rsidRPr="00103EB7" w:rsidRDefault="009C12E0" w:rsidP="006C313A">
            <w:pPr>
              <w:jc w:val="center"/>
              <w:rPr>
                <w:rFonts w:ascii="Aptos" w:hAnsi="Aptos"/>
                <w:b/>
                <w:bCs/>
                <w:sz w:val="20"/>
                <w:szCs w:val="20"/>
              </w:rPr>
            </w:pPr>
          </w:p>
        </w:tc>
        <w:tc>
          <w:tcPr>
            <w:tcW w:w="1276" w:type="dxa"/>
            <w:vAlign w:val="center"/>
          </w:tcPr>
          <w:p w14:paraId="5BAD0AA7"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c>
          <w:tcPr>
            <w:tcW w:w="1412" w:type="dxa"/>
            <w:vAlign w:val="center"/>
          </w:tcPr>
          <w:p w14:paraId="187E8475" w14:textId="77777777" w:rsidR="009C12E0" w:rsidRPr="00103EB7" w:rsidRDefault="009C12E0" w:rsidP="006C313A">
            <w:pPr>
              <w:jc w:val="center"/>
              <w:rPr>
                <w:rFonts w:ascii="Aptos" w:hAnsi="Aptos"/>
              </w:rPr>
            </w:pPr>
          </w:p>
        </w:tc>
      </w:tr>
      <w:tr w:rsidR="009C12E0" w:rsidRPr="00103EB7" w14:paraId="72B426A3" w14:textId="77777777" w:rsidTr="00131AB9">
        <w:trPr>
          <w:trHeight w:val="1037"/>
        </w:trPr>
        <w:tc>
          <w:tcPr>
            <w:tcW w:w="2263" w:type="dxa"/>
          </w:tcPr>
          <w:p w14:paraId="13A7C01B"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 xml:space="preserve">Kellezi et al. </w:t>
            </w:r>
          </w:p>
          <w:p w14:paraId="25817D6A"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2019</w:t>
            </w:r>
          </w:p>
          <w:p w14:paraId="73B5086C" w14:textId="77777777" w:rsidR="009C12E0" w:rsidRPr="00103EB7" w:rsidRDefault="009C12E0" w:rsidP="00737C0B">
            <w:pPr>
              <w:spacing w:after="0"/>
              <w:rPr>
                <w:rFonts w:ascii="Aptos" w:hAnsi="Aptos"/>
                <w:color w:val="000000"/>
                <w:sz w:val="20"/>
                <w:szCs w:val="20"/>
              </w:rPr>
            </w:pPr>
            <w:r w:rsidRPr="00103EB7">
              <w:rPr>
                <w:rFonts w:ascii="Aptos" w:hAnsi="Aptos"/>
                <w:color w:val="000000"/>
                <w:sz w:val="20"/>
                <w:szCs w:val="20"/>
              </w:rPr>
              <w:t>UK</w:t>
            </w:r>
          </w:p>
          <w:p w14:paraId="03110AED" w14:textId="77777777" w:rsidR="009C12E0" w:rsidRPr="00103EB7" w:rsidRDefault="009C12E0" w:rsidP="00737C0B">
            <w:pPr>
              <w:spacing w:after="0"/>
              <w:rPr>
                <w:rFonts w:ascii="Aptos" w:hAnsi="Aptos"/>
                <w:sz w:val="20"/>
                <w:szCs w:val="20"/>
              </w:rPr>
            </w:pPr>
            <w:r w:rsidRPr="00103EB7">
              <w:rPr>
                <w:rFonts w:ascii="Aptos" w:hAnsi="Aptos"/>
                <w:noProof/>
                <w:sz w:val="20"/>
                <w:szCs w:val="20"/>
              </w:rPr>
              <w:t>[12]</w:t>
            </w:r>
          </w:p>
        </w:tc>
        <w:tc>
          <w:tcPr>
            <w:tcW w:w="1418" w:type="dxa"/>
          </w:tcPr>
          <w:p w14:paraId="3FDCEAF5" w14:textId="759E8912" w:rsidR="009C12E0" w:rsidRPr="00103EB7" w:rsidRDefault="00B31604"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009C12E0" w:rsidRPr="00103EB7">
              <w:rPr>
                <w:rFonts w:ascii="Aptos" w:hAnsi="Aptos"/>
                <w:sz w:val="20"/>
                <w:szCs w:val="20"/>
              </w:rPr>
              <w:t>Quantitative/Qualitative</w:t>
            </w:r>
          </w:p>
        </w:tc>
        <w:tc>
          <w:tcPr>
            <w:tcW w:w="1417" w:type="dxa"/>
            <w:vAlign w:val="center"/>
          </w:tcPr>
          <w:p w14:paraId="192E9013" w14:textId="77777777" w:rsidR="009C12E0" w:rsidRPr="00103EB7" w:rsidRDefault="009C12E0" w:rsidP="006C313A">
            <w:pPr>
              <w:jc w:val="center"/>
              <w:rPr>
                <w:rFonts w:ascii="Aptos" w:hAnsi="Aptos"/>
                <w:b/>
                <w:bCs/>
                <w:sz w:val="20"/>
                <w:szCs w:val="20"/>
              </w:rPr>
            </w:pPr>
          </w:p>
        </w:tc>
        <w:tc>
          <w:tcPr>
            <w:tcW w:w="1276" w:type="dxa"/>
            <w:vAlign w:val="center"/>
          </w:tcPr>
          <w:p w14:paraId="2A59F5EE" w14:textId="77777777" w:rsidR="009C12E0" w:rsidRPr="00103EB7" w:rsidRDefault="009C12E0" w:rsidP="006C313A">
            <w:pPr>
              <w:jc w:val="center"/>
              <w:rPr>
                <w:rFonts w:ascii="Aptos" w:hAnsi="Aptos"/>
                <w:b/>
                <w:bCs/>
                <w:sz w:val="20"/>
                <w:szCs w:val="20"/>
              </w:rPr>
            </w:pPr>
          </w:p>
        </w:tc>
        <w:tc>
          <w:tcPr>
            <w:tcW w:w="1276" w:type="dxa"/>
            <w:vAlign w:val="center"/>
          </w:tcPr>
          <w:p w14:paraId="583C7ACF"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c>
          <w:tcPr>
            <w:tcW w:w="1412" w:type="dxa"/>
            <w:vAlign w:val="center"/>
          </w:tcPr>
          <w:p w14:paraId="23403EC1" w14:textId="77777777" w:rsidR="009C12E0" w:rsidRPr="00103EB7" w:rsidRDefault="009C12E0" w:rsidP="006C313A">
            <w:pPr>
              <w:jc w:val="center"/>
              <w:rPr>
                <w:rFonts w:ascii="Aptos" w:hAnsi="Aptos"/>
              </w:rPr>
            </w:pPr>
          </w:p>
        </w:tc>
      </w:tr>
      <w:tr w:rsidR="009C12E0" w:rsidRPr="00103EB7" w14:paraId="1576BD5B" w14:textId="77777777" w:rsidTr="00600057">
        <w:tc>
          <w:tcPr>
            <w:tcW w:w="2263" w:type="dxa"/>
          </w:tcPr>
          <w:p w14:paraId="32FD0E3B" w14:textId="4B8F23E4" w:rsidR="009C12E0" w:rsidRPr="00103EB7" w:rsidRDefault="00B31604" w:rsidP="00FD4F10">
            <w:pPr>
              <w:rPr>
                <w:rFonts w:ascii="Aptos" w:hAnsi="Aptos"/>
                <w:sz w:val="20"/>
                <w:szCs w:val="20"/>
                <w:lang w:val="en-US"/>
              </w:rPr>
            </w:pPr>
            <w:r w:rsidRPr="00103EB7">
              <w:rPr>
                <w:rFonts w:ascii="Aptos" w:hAnsi="Aptos"/>
                <w:sz w:val="20"/>
                <w:szCs w:val="20"/>
                <w:lang w:val="en-US"/>
              </w:rPr>
              <w:t>Primary study</w:t>
            </w:r>
            <w:r w:rsidR="00FD4F10">
              <w:rPr>
                <w:rFonts w:ascii="Aptos" w:hAnsi="Aptos"/>
                <w:sz w:val="20"/>
                <w:szCs w:val="20"/>
                <w:lang w:val="en-US"/>
              </w:rPr>
              <w:br/>
            </w:r>
            <w:r w:rsidR="009C12E0" w:rsidRPr="00103EB7">
              <w:rPr>
                <w:rFonts w:ascii="Aptos" w:hAnsi="Aptos"/>
                <w:color w:val="000000"/>
                <w:sz w:val="20"/>
                <w:szCs w:val="20"/>
                <w:lang w:val="en-US"/>
              </w:rPr>
              <w:t xml:space="preserve">Kiely et al. </w:t>
            </w:r>
            <w:r w:rsidR="00FD4F10">
              <w:rPr>
                <w:rFonts w:ascii="Aptos" w:hAnsi="Aptos"/>
                <w:color w:val="000000"/>
                <w:sz w:val="20"/>
                <w:szCs w:val="20"/>
                <w:lang w:val="en-US"/>
              </w:rPr>
              <w:br/>
            </w:r>
            <w:r w:rsidR="009C12E0" w:rsidRPr="00103EB7">
              <w:rPr>
                <w:rFonts w:ascii="Aptos" w:hAnsi="Aptos"/>
                <w:color w:val="000000"/>
                <w:sz w:val="20"/>
                <w:szCs w:val="20"/>
                <w:lang w:val="en-US"/>
              </w:rPr>
              <w:t>2021</w:t>
            </w:r>
            <w:r w:rsidR="00FD4F10">
              <w:rPr>
                <w:rFonts w:ascii="Aptos" w:hAnsi="Aptos"/>
                <w:color w:val="000000"/>
                <w:sz w:val="20"/>
                <w:szCs w:val="20"/>
                <w:lang w:val="en-US"/>
              </w:rPr>
              <w:br/>
            </w:r>
            <w:r w:rsidR="00FD4F10" w:rsidRPr="00103EB7">
              <w:rPr>
                <w:rFonts w:ascii="Aptos" w:hAnsi="Aptos"/>
                <w:color w:val="000000"/>
                <w:sz w:val="20"/>
                <w:szCs w:val="20"/>
                <w:lang w:val="en-US"/>
              </w:rPr>
              <w:t>Ireland</w:t>
            </w:r>
            <w:r w:rsidR="00FD4F10">
              <w:rPr>
                <w:rFonts w:ascii="Aptos" w:hAnsi="Aptos"/>
                <w:color w:val="000000"/>
                <w:sz w:val="20"/>
                <w:szCs w:val="20"/>
                <w:lang w:val="en-US"/>
              </w:rPr>
              <w:br/>
            </w:r>
            <w:r w:rsidR="009C12E0" w:rsidRPr="00103EB7">
              <w:rPr>
                <w:rFonts w:ascii="Aptos" w:hAnsi="Aptos"/>
                <w:noProof/>
                <w:color w:val="000000"/>
                <w:sz w:val="20"/>
                <w:szCs w:val="20"/>
                <w:lang w:val="en-US"/>
              </w:rPr>
              <w:t>[</w:t>
            </w:r>
            <w:r w:rsidR="00131AB9">
              <w:rPr>
                <w:rFonts w:ascii="Aptos" w:hAnsi="Aptos"/>
                <w:noProof/>
                <w:color w:val="000000"/>
                <w:sz w:val="20"/>
                <w:szCs w:val="20"/>
                <w:lang w:val="en-US"/>
              </w:rPr>
              <w:t>16</w:t>
            </w:r>
            <w:r w:rsidR="009C12E0" w:rsidRPr="00103EB7">
              <w:rPr>
                <w:rFonts w:ascii="Aptos" w:hAnsi="Aptos"/>
                <w:noProof/>
                <w:color w:val="000000"/>
                <w:sz w:val="20"/>
                <w:szCs w:val="20"/>
                <w:lang w:val="en-US"/>
              </w:rPr>
              <w:t>]</w:t>
            </w:r>
          </w:p>
        </w:tc>
        <w:tc>
          <w:tcPr>
            <w:tcW w:w="1418" w:type="dxa"/>
          </w:tcPr>
          <w:p w14:paraId="3117B9F0" w14:textId="792E0949" w:rsidR="009C12E0" w:rsidRPr="00103EB7" w:rsidRDefault="00600057" w:rsidP="00FD4F10">
            <w:pPr>
              <w:rPr>
                <w:rFonts w:ascii="Aptos" w:hAnsi="Aptos"/>
                <w:sz w:val="20"/>
                <w:szCs w:val="20"/>
              </w:rPr>
            </w:pPr>
            <w:r w:rsidRPr="00103EB7">
              <w:rPr>
                <w:rFonts w:ascii="Aptos" w:hAnsi="Aptos"/>
                <w:sz w:val="20"/>
                <w:szCs w:val="20"/>
              </w:rPr>
              <w:t>Primary study</w:t>
            </w:r>
            <w:r w:rsidR="00FD4F10">
              <w:rPr>
                <w:rFonts w:ascii="Aptos" w:hAnsi="Aptos"/>
                <w:sz w:val="20"/>
                <w:szCs w:val="20"/>
              </w:rPr>
              <w:br/>
            </w:r>
            <w:r w:rsidRPr="00103EB7">
              <w:rPr>
                <w:rFonts w:ascii="Aptos" w:hAnsi="Aptos"/>
                <w:sz w:val="20"/>
                <w:szCs w:val="20"/>
              </w:rPr>
              <w:t>Quantitative</w:t>
            </w:r>
          </w:p>
        </w:tc>
        <w:tc>
          <w:tcPr>
            <w:tcW w:w="1417" w:type="dxa"/>
            <w:vAlign w:val="center"/>
          </w:tcPr>
          <w:p w14:paraId="7644F11E" w14:textId="77777777" w:rsidR="009C12E0" w:rsidRPr="00103EB7" w:rsidRDefault="009C12E0" w:rsidP="006C313A">
            <w:pPr>
              <w:jc w:val="center"/>
              <w:rPr>
                <w:rFonts w:ascii="Aptos" w:hAnsi="Aptos"/>
                <w:b/>
                <w:bCs/>
                <w:sz w:val="20"/>
                <w:szCs w:val="20"/>
              </w:rPr>
            </w:pPr>
          </w:p>
        </w:tc>
        <w:tc>
          <w:tcPr>
            <w:tcW w:w="1276" w:type="dxa"/>
            <w:vAlign w:val="center"/>
          </w:tcPr>
          <w:p w14:paraId="4DE3104C" w14:textId="77777777" w:rsidR="009C12E0" w:rsidRPr="00103EB7" w:rsidRDefault="009C12E0" w:rsidP="006C313A">
            <w:pPr>
              <w:jc w:val="center"/>
              <w:rPr>
                <w:rFonts w:ascii="Aptos" w:hAnsi="Aptos"/>
                <w:b/>
                <w:bCs/>
                <w:sz w:val="20"/>
                <w:szCs w:val="20"/>
              </w:rPr>
            </w:pPr>
          </w:p>
        </w:tc>
        <w:tc>
          <w:tcPr>
            <w:tcW w:w="1276" w:type="dxa"/>
            <w:vAlign w:val="center"/>
          </w:tcPr>
          <w:p w14:paraId="1AF50BF4" w14:textId="77777777" w:rsidR="009C12E0" w:rsidRPr="00600057" w:rsidRDefault="009C12E0" w:rsidP="006C313A">
            <w:pPr>
              <w:jc w:val="center"/>
              <w:rPr>
                <w:rFonts w:ascii="Aptos" w:hAnsi="Aptos"/>
                <w:b/>
                <w:bCs/>
                <w:sz w:val="20"/>
                <w:szCs w:val="20"/>
              </w:rPr>
            </w:pPr>
            <w:r w:rsidRPr="00600057">
              <w:rPr>
                <w:rFonts w:ascii="Aptos" w:hAnsi="Aptos"/>
                <w:b/>
                <w:bCs/>
                <w:sz w:val="20"/>
                <w:szCs w:val="20"/>
              </w:rPr>
              <w:t>x</w:t>
            </w:r>
          </w:p>
        </w:tc>
        <w:tc>
          <w:tcPr>
            <w:tcW w:w="1412" w:type="dxa"/>
            <w:vAlign w:val="center"/>
          </w:tcPr>
          <w:p w14:paraId="45D84909" w14:textId="77777777" w:rsidR="009C12E0" w:rsidRPr="00103EB7" w:rsidRDefault="009C12E0" w:rsidP="006C313A">
            <w:pPr>
              <w:jc w:val="center"/>
              <w:rPr>
                <w:rFonts w:ascii="Aptos" w:hAnsi="Aptos"/>
              </w:rPr>
            </w:pPr>
          </w:p>
        </w:tc>
      </w:tr>
    </w:tbl>
    <w:p w14:paraId="661CBB34" w14:textId="63D145BE" w:rsidR="009C12E0" w:rsidRDefault="00E923C5" w:rsidP="009C12E0">
      <w:pPr>
        <w:pStyle w:val="Rubrik2"/>
      </w:pPr>
      <w:r>
        <w:lastRenderedPageBreak/>
        <w:br/>
      </w:r>
      <w:r w:rsidR="009C12E0">
        <w:t>Referenser</w:t>
      </w:r>
    </w:p>
    <w:p w14:paraId="6BCEC562" w14:textId="48034EF8" w:rsidR="009C12E0" w:rsidRPr="0021226D" w:rsidRDefault="00521B5E" w:rsidP="009C12E0">
      <w:pPr>
        <w:pStyle w:val="EndNoteBibliography"/>
        <w:spacing w:after="0"/>
        <w:ind w:left="720" w:hanging="720"/>
      </w:pPr>
      <w:r>
        <w:t>1</w:t>
      </w:r>
      <w:r w:rsidR="009C12E0" w:rsidRPr="0021226D">
        <w:t>.</w:t>
      </w:r>
      <w:r w:rsidR="009C12E0" w:rsidRPr="0021226D">
        <w:tab/>
        <w:t xml:space="preserve">Percival A, Newton C, Mulligan K, Petrella RJ, Ashe MC. Systematic review of social prescribing and older adults: where to from here? Fam Med Community Health. 2022;10. Available from: </w:t>
      </w:r>
      <w:r w:rsidR="009C12E0" w:rsidRPr="00D235FE">
        <w:t>https://doi.org/10.1136/fmch-2022-001829</w:t>
      </w:r>
    </w:p>
    <w:p w14:paraId="583D2DBD" w14:textId="6CF9D5A3" w:rsidR="009C12E0" w:rsidRPr="0021226D" w:rsidRDefault="00521B5E" w:rsidP="009C12E0">
      <w:pPr>
        <w:pStyle w:val="EndNoteBibliography"/>
        <w:spacing w:after="0"/>
        <w:ind w:left="720" w:hanging="720"/>
      </w:pPr>
      <w:r>
        <w:t>2</w:t>
      </w:r>
      <w:r w:rsidR="009C12E0" w:rsidRPr="0021226D">
        <w:t>.</w:t>
      </w:r>
      <w:r w:rsidR="009C12E0" w:rsidRPr="0021226D">
        <w:tab/>
        <w:t xml:space="preserve">Sadio R, Henriques A, Nogueira P, Costa A. Social prescription for the elderly: a community-based scoping review. Prim Health Care Res Dev. 2024;25:e46. Available from: </w:t>
      </w:r>
      <w:r w:rsidR="009C12E0" w:rsidRPr="00D235FE">
        <w:t>https://doi.org/10.1017/S1463423624000410</w:t>
      </w:r>
    </w:p>
    <w:p w14:paraId="3E107E28" w14:textId="1D67D58B" w:rsidR="009C12E0" w:rsidRPr="0021226D" w:rsidRDefault="00ED29D7" w:rsidP="009C12E0">
      <w:pPr>
        <w:pStyle w:val="EndNoteBibliography"/>
        <w:spacing w:after="0"/>
        <w:ind w:left="720" w:hanging="720"/>
      </w:pPr>
      <w:r>
        <w:t>3</w:t>
      </w:r>
      <w:r w:rsidR="009C12E0" w:rsidRPr="0021226D">
        <w:t>.</w:t>
      </w:r>
      <w:r w:rsidR="009C12E0" w:rsidRPr="0021226D">
        <w:tab/>
        <w:t xml:space="preserve">Kiely B, Croke A, Shea M, Boland F, Shea E, Connolly D, et al. Effect of social prescribing link workers on health outcomes and costs for adults in primary care and community settings: a systematic review. BMJ Open. 2022;12(10):e062951. Available from: </w:t>
      </w:r>
      <w:r w:rsidR="009C12E0" w:rsidRPr="00D235FE">
        <w:t>https://doi.org/10.1136/bmjopen-2022-062951</w:t>
      </w:r>
    </w:p>
    <w:p w14:paraId="26E85517" w14:textId="1F309095" w:rsidR="009C12E0" w:rsidRPr="0021226D" w:rsidRDefault="00ED29D7" w:rsidP="009C12E0">
      <w:pPr>
        <w:pStyle w:val="EndNoteBibliography"/>
        <w:spacing w:after="0"/>
        <w:ind w:left="720" w:hanging="720"/>
      </w:pPr>
      <w:r>
        <w:t>4</w:t>
      </w:r>
      <w:r w:rsidR="009C12E0" w:rsidRPr="0021226D">
        <w:t>.</w:t>
      </w:r>
      <w:r w:rsidR="009C12E0" w:rsidRPr="0021226D">
        <w:tab/>
        <w:t xml:space="preserve">Elston J, Gradinger F, Asthana S, Lilley-Woolnough C, Wroe S, Harman H, et al. Does a social prescribing 'holistic' link-worker for older people with complex, multimorbidity improve well-being and frailty and reduce health and social care use and costs? A 12-month before-and-after evaluation. Prim Health Care Res Dev. 2019;20:e135. Available from: </w:t>
      </w:r>
      <w:r w:rsidR="009C12E0" w:rsidRPr="00D235FE">
        <w:t>https://doi.org/10.1017/s1463423619000598</w:t>
      </w:r>
    </w:p>
    <w:p w14:paraId="57F55A09" w14:textId="21C17EA6" w:rsidR="009C12E0" w:rsidRPr="0021226D" w:rsidRDefault="0078668A" w:rsidP="009C12E0">
      <w:pPr>
        <w:pStyle w:val="EndNoteBibliography"/>
        <w:spacing w:after="0"/>
        <w:ind w:left="720" w:hanging="720"/>
      </w:pPr>
      <w:r>
        <w:t>5</w:t>
      </w:r>
      <w:r w:rsidR="009C12E0" w:rsidRPr="0021226D">
        <w:t>.</w:t>
      </w:r>
      <w:r w:rsidR="009C12E0" w:rsidRPr="0021226D">
        <w:tab/>
        <w:t xml:space="preserve">Porter B, Wood C, Belderson P, Manning C, Meadows R, Sanderson K, et al. We care but we're not carers: perceptions and experiences of social prescribing in a UK national community organisation. Perspect Public Health. 2023:17579139231185004. Available from: </w:t>
      </w:r>
      <w:r w:rsidR="009C12E0" w:rsidRPr="00D235FE">
        <w:t>https://doi.org/10.1177/17579139231185004</w:t>
      </w:r>
    </w:p>
    <w:p w14:paraId="7A8BEFAC" w14:textId="6FBCC619" w:rsidR="009C12E0" w:rsidRPr="0021226D" w:rsidRDefault="004F6B83" w:rsidP="009C12E0">
      <w:pPr>
        <w:pStyle w:val="EndNoteBibliography"/>
        <w:spacing w:after="0"/>
        <w:ind w:left="720" w:hanging="720"/>
      </w:pPr>
      <w:r>
        <w:t>6</w:t>
      </w:r>
      <w:r w:rsidR="009C12E0" w:rsidRPr="0021226D">
        <w:t>.</w:t>
      </w:r>
      <w:r w:rsidR="009C12E0" w:rsidRPr="0021226D">
        <w:tab/>
        <w:t xml:space="preserve">Gorenberg J, Tierney S, Wong G, Turk A, Libert S, Potter C, et al. Understanding and Improving Older People's Well-Being through Social Prescribing Involving the Cultural Sector: Interviews from a Realist Evaluation. J Appl Gerontol. 2023;42(7):1466-76. Available from: </w:t>
      </w:r>
      <w:r w:rsidR="009C12E0" w:rsidRPr="00D235FE">
        <w:t>https://doi.org/10.1177/07334648231154043</w:t>
      </w:r>
    </w:p>
    <w:p w14:paraId="6576829B" w14:textId="4017B967" w:rsidR="009C12E0" w:rsidRPr="0021226D" w:rsidRDefault="004F6B83" w:rsidP="009C12E0">
      <w:pPr>
        <w:pStyle w:val="EndNoteBibliography"/>
        <w:spacing w:after="0"/>
        <w:ind w:left="720" w:hanging="720"/>
      </w:pPr>
      <w:r>
        <w:t>7</w:t>
      </w:r>
      <w:r w:rsidR="009C12E0" w:rsidRPr="0021226D">
        <w:t>.</w:t>
      </w:r>
      <w:r w:rsidR="009C12E0" w:rsidRPr="0021226D">
        <w:tab/>
        <w:t xml:space="preserve">Poulos RG, Marwood S, Harkin D, Opher S, Clift S, Cole AMD, et al. Arts on prescription for community-dwelling older people with a range of health and wellness needs. Health Soc Care Community. 2019;27(2):483-92. Available from: </w:t>
      </w:r>
      <w:r w:rsidR="009C12E0" w:rsidRPr="00D235FE">
        <w:t>https://doi.org/10.1111/hsc.12669</w:t>
      </w:r>
    </w:p>
    <w:p w14:paraId="0E7D6E85" w14:textId="3D536ABC" w:rsidR="009C12E0" w:rsidRPr="0021226D" w:rsidRDefault="00A73431" w:rsidP="009C12E0">
      <w:pPr>
        <w:pStyle w:val="EndNoteBibliography"/>
        <w:spacing w:after="0"/>
        <w:ind w:left="720" w:hanging="720"/>
      </w:pPr>
      <w:r>
        <w:t>8</w:t>
      </w:r>
      <w:r w:rsidR="009C12E0" w:rsidRPr="0021226D">
        <w:t>.</w:t>
      </w:r>
      <w:r w:rsidR="009C12E0" w:rsidRPr="0021226D">
        <w:tab/>
        <w:t xml:space="preserve">Kellezi B, Wakefield JRH, Stevenson C, McNamara N, Mair E, Bowe M, et al. The social cure of social prescribing: a mixed-methods study on the benefits of social connectedness on quality and effectiveness of care provision. BMJ Open. 2019;9(11):e033137. Available from: </w:t>
      </w:r>
      <w:r w:rsidR="009C12E0" w:rsidRPr="00D235FE">
        <w:t>https://doi.org/10.1136/bmjopen-2019-033137</w:t>
      </w:r>
    </w:p>
    <w:p w14:paraId="7D05A19B" w14:textId="234C9161" w:rsidR="009C12E0" w:rsidRPr="0021226D" w:rsidRDefault="00A73431" w:rsidP="009C12E0">
      <w:pPr>
        <w:pStyle w:val="EndNoteBibliography"/>
        <w:spacing w:after="0"/>
        <w:ind w:left="720" w:hanging="720"/>
      </w:pPr>
      <w:r>
        <w:t>9</w:t>
      </w:r>
      <w:r w:rsidR="009C12E0" w:rsidRPr="0021226D">
        <w:t>.</w:t>
      </w:r>
      <w:r w:rsidR="009C12E0" w:rsidRPr="0021226D">
        <w:tab/>
        <w:t xml:space="preserve">Thomson LJ, Lockyer B, Camic PM, Chatterjee HJ. Effects of a museum-based social prescription intervention on quantitative measures of psychological wellbeing in older adults. Perspect Public Health. 2018;138(1):28-38. Available from: </w:t>
      </w:r>
      <w:r w:rsidR="009C12E0" w:rsidRPr="00D235FE">
        <w:t>https://doi.org/10.1177/1757913917737563</w:t>
      </w:r>
    </w:p>
    <w:p w14:paraId="5C15A77A" w14:textId="7044936E" w:rsidR="009C12E0" w:rsidRPr="0021226D" w:rsidRDefault="009C12E0" w:rsidP="009C12E0">
      <w:pPr>
        <w:pStyle w:val="EndNoteBibliography"/>
        <w:spacing w:after="0"/>
        <w:ind w:left="720" w:hanging="720"/>
      </w:pPr>
      <w:r w:rsidRPr="0021226D">
        <w:t>1</w:t>
      </w:r>
      <w:r w:rsidR="00A73431">
        <w:t>0</w:t>
      </w:r>
      <w:r w:rsidRPr="0021226D">
        <w:t>.</w:t>
      </w:r>
      <w:r w:rsidRPr="0021226D">
        <w:tab/>
        <w:t xml:space="preserve">Vogelpoel N, Jarrold K. Social prescription and the role of participatory arts programmes for older people with sensory impairments. Journal of Integrated Care. 2014;22(2):39-50. Available from: </w:t>
      </w:r>
      <w:r w:rsidRPr="00D235FE">
        <w:t>https://doi.org/10.1108/jica-01-2014-0002</w:t>
      </w:r>
    </w:p>
    <w:p w14:paraId="45C6CA03" w14:textId="44D25F25" w:rsidR="009C12E0" w:rsidRPr="0021226D" w:rsidRDefault="009C12E0" w:rsidP="009C12E0">
      <w:pPr>
        <w:pStyle w:val="EndNoteBibliography"/>
        <w:spacing w:after="0"/>
        <w:ind w:left="720" w:hanging="720"/>
      </w:pPr>
      <w:r w:rsidRPr="0021226D">
        <w:t>1</w:t>
      </w:r>
      <w:r w:rsidR="00A73431">
        <w:t>1</w:t>
      </w:r>
      <w:r w:rsidRPr="0021226D">
        <w:t>.</w:t>
      </w:r>
      <w:r w:rsidRPr="0021226D">
        <w:tab/>
        <w:t xml:space="preserve">Munford LA, Panagioti M, Bower P, Skevington SM. Community asset participation and social medicine increases qualities of life. Soc Sci Med. 2020;259:113149. Available from: </w:t>
      </w:r>
      <w:r w:rsidRPr="00D235FE">
        <w:t>https://doi.org/10.1016/j.socscimed.2020.113149</w:t>
      </w:r>
    </w:p>
    <w:p w14:paraId="7640B4FF" w14:textId="43934C9D" w:rsidR="009C12E0" w:rsidRPr="0021226D" w:rsidRDefault="009C12E0" w:rsidP="009C12E0">
      <w:pPr>
        <w:pStyle w:val="EndNoteBibliography"/>
        <w:spacing w:after="0"/>
        <w:ind w:left="720" w:hanging="720"/>
      </w:pPr>
      <w:r w:rsidRPr="0021226D">
        <w:t>1</w:t>
      </w:r>
      <w:r w:rsidR="00DD71CD">
        <w:t>2</w:t>
      </w:r>
      <w:r w:rsidRPr="0021226D">
        <w:t>.</w:t>
      </w:r>
      <w:r w:rsidRPr="0021226D">
        <w:tab/>
        <w:t xml:space="preserve">Orellana K, Manthorpe J, Tinker A. Day centres for older people: A systematically conducted scoping review of literature about their benefits, purposes and how they are perceived. Ageing Soc. 2020;40(1):73-104. Available from: </w:t>
      </w:r>
      <w:r w:rsidRPr="00D235FE">
        <w:t>https://doi.org/10.1017/S0144686X18000843</w:t>
      </w:r>
    </w:p>
    <w:p w14:paraId="2B6C87A9" w14:textId="1B91F440" w:rsidR="009C12E0" w:rsidRPr="0021226D" w:rsidRDefault="009C12E0" w:rsidP="009C12E0">
      <w:pPr>
        <w:pStyle w:val="EndNoteBibliography"/>
        <w:spacing w:after="0"/>
        <w:ind w:left="720" w:hanging="720"/>
      </w:pPr>
      <w:r w:rsidRPr="0021226D">
        <w:lastRenderedPageBreak/>
        <w:t>1</w:t>
      </w:r>
      <w:r w:rsidR="00B5086D">
        <w:t>3</w:t>
      </w:r>
      <w:r w:rsidRPr="0021226D">
        <w:t>.</w:t>
      </w:r>
      <w:r w:rsidRPr="0021226D">
        <w:tab/>
        <w:t xml:space="preserve">Jones C, Hartfiel N, Brocklehurst P, Lynch M, Edwards RT. Social Return on Investment Analysis of the Health Precinct Community Hub for Chronic Conditions. Int J Environ Res Public Health. 2020;17(14). Available from: </w:t>
      </w:r>
      <w:r w:rsidRPr="00D235FE">
        <w:t>https://doi.org/10.3390/ijerph17145249</w:t>
      </w:r>
    </w:p>
    <w:p w14:paraId="7D9D1CF5" w14:textId="38277722" w:rsidR="009C12E0" w:rsidRPr="0021226D" w:rsidRDefault="009C12E0" w:rsidP="009C12E0">
      <w:pPr>
        <w:pStyle w:val="EndNoteBibliography"/>
        <w:spacing w:after="0"/>
        <w:ind w:left="720" w:hanging="720"/>
      </w:pPr>
      <w:r w:rsidRPr="0021226D">
        <w:t>1</w:t>
      </w:r>
      <w:r w:rsidR="00B5086D">
        <w:t>4</w:t>
      </w:r>
      <w:r w:rsidRPr="0021226D">
        <w:t>.</w:t>
      </w:r>
      <w:r w:rsidRPr="0021226D">
        <w:tab/>
        <w:t xml:space="preserve">Loftus AM, McCauley F, McCarron MO. Impact of social prescribing on general practice workload and polypharmacy. Public Health. 2017;148:96-101. Available from: </w:t>
      </w:r>
      <w:r w:rsidRPr="00D235FE">
        <w:t>https://doi.org/10.1016/j.puhe.2017.03.010</w:t>
      </w:r>
    </w:p>
    <w:p w14:paraId="1725EAB6" w14:textId="788AADE9" w:rsidR="009C12E0" w:rsidRPr="0021226D" w:rsidRDefault="009C12E0" w:rsidP="009C12E0">
      <w:pPr>
        <w:pStyle w:val="EndNoteBibliography"/>
        <w:spacing w:after="0"/>
        <w:ind w:left="720" w:hanging="720"/>
      </w:pPr>
      <w:r w:rsidRPr="0021226D">
        <w:t>1</w:t>
      </w:r>
      <w:r w:rsidR="00131AB9">
        <w:t>5</w:t>
      </w:r>
      <w:r w:rsidRPr="0021226D">
        <w:t>.</w:t>
      </w:r>
      <w:r w:rsidRPr="0021226D">
        <w:tab/>
        <w:t xml:space="preserve">Costa A, Henriques J, Alarcão V, Madeira T, Virgolino A, Henriques A, et al. Social prescribing for older adults in mainland Portugal: Perceptions and future prospects. Prev Med Rep. 2024;39:102652. Available from: </w:t>
      </w:r>
      <w:r w:rsidRPr="00D235FE">
        <w:t>https://doi.org/10.1016/j.pmedr.2024.102652</w:t>
      </w:r>
    </w:p>
    <w:p w14:paraId="5B8EF2B4" w14:textId="3236EA38" w:rsidR="003D0238" w:rsidRPr="008F1808" w:rsidRDefault="00521B5E" w:rsidP="00521B5E">
      <w:pPr>
        <w:pStyle w:val="EndNoteBibliography"/>
        <w:ind w:left="720" w:hanging="720"/>
        <w:rPr>
          <w:sz w:val="2"/>
          <w:szCs w:val="2"/>
          <w:lang w:val="en-GB"/>
        </w:rPr>
      </w:pPr>
      <w:r>
        <w:t>1</w:t>
      </w:r>
      <w:r w:rsidR="00131AB9">
        <w:t>6</w:t>
      </w:r>
      <w:r w:rsidR="009C12E0" w:rsidRPr="0021226D">
        <w:t>.</w:t>
      </w:r>
      <w:r w:rsidR="009C12E0" w:rsidRPr="0021226D">
        <w:tab/>
        <w:t xml:space="preserve">Kiely B, Connolly D, Clyne B, Boland F, O'Donnell P, Shea EO, et al. Primary care-based link workers providing social prescribing to improve health and social care outcomes for people with multimorbidity in socially deprived areas (the LinkMM trial): Pilot study for a pragmatic randomised controlled trial. Journal of Multimorbidity &amp; Comorbidity. 2021;11:1-9. Available from: </w:t>
      </w:r>
      <w:r w:rsidR="009C12E0" w:rsidRPr="00D235FE">
        <w:t>https://doi.org/10.1177/26335565211017781</w:t>
      </w:r>
    </w:p>
    <w:p w14:paraId="1601D1C3" w14:textId="77777777" w:rsidR="003D0238" w:rsidRPr="008F1808" w:rsidRDefault="003D0238" w:rsidP="003D0238">
      <w:pPr>
        <w:rPr>
          <w:sz w:val="2"/>
          <w:szCs w:val="2"/>
          <w:lang w:val="en-GB"/>
        </w:rPr>
      </w:pPr>
    </w:p>
    <w:p w14:paraId="5ED8EEAB" w14:textId="77777777" w:rsidR="003D0238" w:rsidRPr="008F1808" w:rsidRDefault="003D0238" w:rsidP="003D0238">
      <w:pPr>
        <w:rPr>
          <w:sz w:val="2"/>
          <w:szCs w:val="2"/>
          <w:lang w:val="en-GB"/>
        </w:rPr>
      </w:pPr>
    </w:p>
    <w:p w14:paraId="1A7D14FE" w14:textId="77777777" w:rsidR="003D0238" w:rsidRPr="008F1808" w:rsidRDefault="003D0238" w:rsidP="003D0238">
      <w:pPr>
        <w:rPr>
          <w:sz w:val="2"/>
          <w:szCs w:val="2"/>
          <w:lang w:val="en-GB"/>
        </w:rPr>
      </w:pPr>
    </w:p>
    <w:p w14:paraId="4B9B1D54" w14:textId="77777777" w:rsidR="003D0238" w:rsidRPr="008F1808" w:rsidRDefault="003D0238" w:rsidP="003D0238">
      <w:pPr>
        <w:rPr>
          <w:sz w:val="2"/>
          <w:szCs w:val="2"/>
          <w:lang w:val="en-GB"/>
        </w:rPr>
      </w:pPr>
    </w:p>
    <w:p w14:paraId="18C0FD2E" w14:textId="77777777" w:rsidR="003D0238" w:rsidRPr="008F1808" w:rsidRDefault="003D0238" w:rsidP="003D0238">
      <w:pPr>
        <w:rPr>
          <w:sz w:val="2"/>
          <w:szCs w:val="2"/>
          <w:lang w:val="en-GB"/>
        </w:rPr>
      </w:pPr>
    </w:p>
    <w:p w14:paraId="3EBD8323" w14:textId="77777777" w:rsidR="003D0238" w:rsidRPr="008F1808" w:rsidRDefault="003D0238" w:rsidP="003D0238">
      <w:pPr>
        <w:rPr>
          <w:sz w:val="2"/>
          <w:szCs w:val="2"/>
          <w:lang w:val="en-GB"/>
        </w:rPr>
      </w:pPr>
    </w:p>
    <w:p w14:paraId="075C9CC0" w14:textId="77777777" w:rsidR="003D0238" w:rsidRPr="008F1808" w:rsidRDefault="003D0238" w:rsidP="003D0238">
      <w:pPr>
        <w:rPr>
          <w:sz w:val="2"/>
          <w:szCs w:val="2"/>
          <w:lang w:val="en-GB"/>
        </w:rPr>
      </w:pPr>
    </w:p>
    <w:p w14:paraId="06F62CB9" w14:textId="77777777" w:rsidR="003D0238" w:rsidRPr="008F1808" w:rsidRDefault="003D0238" w:rsidP="003D0238">
      <w:pPr>
        <w:rPr>
          <w:sz w:val="2"/>
          <w:szCs w:val="2"/>
          <w:lang w:val="en-GB"/>
        </w:rPr>
      </w:pPr>
    </w:p>
    <w:p w14:paraId="2D1E66D0" w14:textId="77777777" w:rsidR="003D0238" w:rsidRPr="008F1808" w:rsidRDefault="003D0238" w:rsidP="003D0238">
      <w:pPr>
        <w:rPr>
          <w:sz w:val="2"/>
          <w:szCs w:val="2"/>
          <w:lang w:val="en-GB"/>
        </w:rPr>
      </w:pPr>
    </w:p>
    <w:p w14:paraId="025AF67C" w14:textId="77777777" w:rsidR="003D0238" w:rsidRPr="008F1808" w:rsidRDefault="003D0238" w:rsidP="003D0238">
      <w:pPr>
        <w:rPr>
          <w:sz w:val="2"/>
          <w:szCs w:val="2"/>
          <w:lang w:val="en-GB"/>
        </w:rPr>
      </w:pPr>
    </w:p>
    <w:p w14:paraId="592EA9E8" w14:textId="77777777" w:rsidR="003D0238" w:rsidRPr="008F1808" w:rsidRDefault="003D0238" w:rsidP="003D0238">
      <w:pPr>
        <w:tabs>
          <w:tab w:val="left" w:pos="8028"/>
        </w:tabs>
        <w:rPr>
          <w:sz w:val="2"/>
          <w:szCs w:val="2"/>
          <w:lang w:val="en-GB"/>
        </w:rPr>
      </w:pPr>
      <w:r w:rsidRPr="008F1808">
        <w:rPr>
          <w:sz w:val="2"/>
          <w:szCs w:val="2"/>
          <w:lang w:val="en-GB"/>
        </w:rPr>
        <w:tab/>
      </w:r>
    </w:p>
    <w:p w14:paraId="6E391001" w14:textId="77777777" w:rsidR="003D0238" w:rsidRPr="008F1808" w:rsidRDefault="003D0238" w:rsidP="003D0238">
      <w:pPr>
        <w:rPr>
          <w:sz w:val="2"/>
          <w:szCs w:val="2"/>
          <w:lang w:val="en-GB"/>
        </w:rPr>
      </w:pPr>
    </w:p>
    <w:sectPr w:rsidR="003D0238" w:rsidRPr="008F1808" w:rsidSect="0016055F">
      <w:headerReference w:type="default" r:id="rId11"/>
      <w:headerReference w:type="first" r:id="rId12"/>
      <w:footerReference w:type="first" r:id="rId13"/>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FCF1" w14:textId="77777777" w:rsidR="00073E54" w:rsidRDefault="00073E54" w:rsidP="009164B5">
      <w:pPr>
        <w:spacing w:after="0"/>
      </w:pPr>
      <w:r>
        <w:separator/>
      </w:r>
    </w:p>
  </w:endnote>
  <w:endnote w:type="continuationSeparator" w:id="0">
    <w:p w14:paraId="57255149" w14:textId="77777777" w:rsidR="00073E54" w:rsidRDefault="00073E54" w:rsidP="009164B5">
      <w:pPr>
        <w:spacing w:after="0"/>
      </w:pPr>
      <w:r>
        <w:continuationSeparator/>
      </w:r>
    </w:p>
  </w:endnote>
  <w:endnote w:type="continuationNotice" w:id="1">
    <w:p w14:paraId="63F1294A" w14:textId="77777777" w:rsidR="00073E54" w:rsidRDefault="00073E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2"/>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0"/>
    </w:tblGrid>
    <w:tr w:rsidR="0016055F" w:rsidRPr="009164B5" w14:paraId="44223593" w14:textId="77777777" w:rsidTr="00B12E2F">
      <w:tc>
        <w:tcPr>
          <w:tcW w:w="8510" w:type="dxa"/>
        </w:tcPr>
        <w:p w14:paraId="612ADB0C" w14:textId="77777777" w:rsidR="0016055F" w:rsidRPr="009164B5" w:rsidRDefault="0016055F" w:rsidP="0016055F">
          <w:pPr>
            <w:ind w:right="-1134"/>
            <w:rPr>
              <w:rFonts w:ascii="Calibri" w:eastAsia="Times New Roman" w:hAnsi="Calibri" w:cs="Times New Roman"/>
              <w:sz w:val="18"/>
            </w:rPr>
          </w:pPr>
        </w:p>
      </w:tc>
    </w:tr>
  </w:tbl>
  <w:p w14:paraId="6F6E168D" w14:textId="77777777" w:rsidR="0016055F" w:rsidRPr="007C1505" w:rsidRDefault="0016055F" w:rsidP="007C1505">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B10D" w14:textId="77777777" w:rsidR="00073E54" w:rsidRDefault="00073E54" w:rsidP="009164B5">
      <w:pPr>
        <w:spacing w:after="0"/>
      </w:pPr>
      <w:r>
        <w:separator/>
      </w:r>
    </w:p>
  </w:footnote>
  <w:footnote w:type="continuationSeparator" w:id="0">
    <w:p w14:paraId="74099C34" w14:textId="77777777" w:rsidR="00073E54" w:rsidRDefault="00073E54" w:rsidP="009164B5">
      <w:pPr>
        <w:spacing w:after="0"/>
      </w:pPr>
      <w:r>
        <w:continuationSeparator/>
      </w:r>
    </w:p>
  </w:footnote>
  <w:footnote w:type="continuationNotice" w:id="1">
    <w:p w14:paraId="1C24CBC0" w14:textId="77777777" w:rsidR="00073E54" w:rsidRDefault="00073E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4061"/>
      <w:gridCol w:w="692"/>
    </w:tblGrid>
    <w:tr w:rsidR="0016055F" w:rsidRPr="009164B5" w14:paraId="10F13AB7" w14:textId="77777777" w:rsidTr="003219F3">
      <w:tc>
        <w:tcPr>
          <w:tcW w:w="4450" w:type="dxa"/>
        </w:tcPr>
        <w:p w14:paraId="42796D95" w14:textId="77777777" w:rsidR="0016055F" w:rsidRPr="009164B5" w:rsidRDefault="0016055F" w:rsidP="009164B5">
          <w:pPr>
            <w:rPr>
              <w:rFonts w:ascii="Calibri" w:eastAsia="Times New Roman" w:hAnsi="Calibri" w:cs="Times New Roman"/>
              <w:sz w:val="18"/>
            </w:rPr>
          </w:pPr>
          <w:bookmarkStart w:id="1" w:name="bkmLogo1True"/>
          <w:bookmarkEnd w:id="1"/>
        </w:p>
      </w:tc>
      <w:tc>
        <w:tcPr>
          <w:tcW w:w="4061" w:type="dxa"/>
        </w:tcPr>
        <w:p w14:paraId="476DBDFA" w14:textId="77777777" w:rsidR="0016055F" w:rsidRPr="009164B5" w:rsidRDefault="0016055F" w:rsidP="009164B5">
          <w:pPr>
            <w:keepNext/>
            <w:spacing w:before="60"/>
            <w:rPr>
              <w:rFonts w:ascii="Calibri" w:eastAsia="Times New Roman" w:hAnsi="Calibri" w:cs="Times New Roman"/>
              <w:b/>
              <w:kern w:val="32"/>
              <w:sz w:val="32"/>
              <w:szCs w:val="52"/>
            </w:rPr>
          </w:pPr>
          <w:bookmarkStart w:id="2" w:name="bkmDocName"/>
          <w:bookmarkEnd w:id="2"/>
        </w:p>
      </w:tc>
      <w:tc>
        <w:tcPr>
          <w:tcW w:w="692" w:type="dxa"/>
        </w:tcPr>
        <w:p w14:paraId="581DF949" w14:textId="77777777" w:rsidR="0016055F" w:rsidRPr="009164B5" w:rsidRDefault="0016055F" w:rsidP="009164B5">
          <w:pPr>
            <w:spacing w:before="160"/>
            <w:jc w:val="right"/>
            <w:rPr>
              <w:rFonts w:ascii="Times New Roman" w:eastAsia="Times New Roman" w:hAnsi="Times New Roman" w:cs="Times New Roman"/>
            </w:rPr>
          </w:pP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PAGE   \* MERGEFORMAT</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 xml:space="preserve"> (</w:t>
          </w: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 xml:space="preserve"> NUMPAGES   \* MERGEFORMAT </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w:t>
          </w:r>
        </w:p>
      </w:tc>
    </w:tr>
  </w:tbl>
  <w:p w14:paraId="1166461D" w14:textId="77777777" w:rsidR="009164B5" w:rsidRPr="0016055F" w:rsidRDefault="009164B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4061"/>
      <w:gridCol w:w="692"/>
    </w:tblGrid>
    <w:tr w:rsidR="00B94B5C" w:rsidRPr="009164B5" w14:paraId="32EDED10" w14:textId="77777777" w:rsidTr="00B12E2F">
      <w:tc>
        <w:tcPr>
          <w:tcW w:w="4450" w:type="dxa"/>
          <w:vMerge w:val="restart"/>
        </w:tcPr>
        <w:p w14:paraId="6C7BE2B8" w14:textId="77777777" w:rsidR="00B94B5C" w:rsidRPr="009164B5" w:rsidRDefault="00AB3485" w:rsidP="0016055F">
          <w:pPr>
            <w:rPr>
              <w:rFonts w:ascii="Calibri" w:eastAsia="Times New Roman" w:hAnsi="Calibri" w:cs="Times New Roman"/>
              <w:sz w:val="18"/>
            </w:rPr>
          </w:pPr>
          <w:r>
            <w:rPr>
              <w:noProof/>
            </w:rPr>
            <w:drawing>
              <wp:inline distT="0" distB="0" distL="0" distR="0" wp14:anchorId="2CB336FF" wp14:editId="7251AB67">
                <wp:extent cx="1836420" cy="678042"/>
                <wp:effectExtent l="0" t="0" r="0" b="8255"/>
                <wp:docPr id="1" name="Bildobjekt 1" descr="SBU: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BU:s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106" cy="686787"/>
                        </a:xfrm>
                        <a:prstGeom prst="rect">
                          <a:avLst/>
                        </a:prstGeom>
                        <a:noFill/>
                        <a:ln>
                          <a:noFill/>
                        </a:ln>
                      </pic:spPr>
                    </pic:pic>
                  </a:graphicData>
                </a:graphic>
              </wp:inline>
            </w:drawing>
          </w:r>
        </w:p>
      </w:tc>
      <w:tc>
        <w:tcPr>
          <w:tcW w:w="4061" w:type="dxa"/>
        </w:tcPr>
        <w:p w14:paraId="67B595D1" w14:textId="77777777" w:rsidR="00B94B5C" w:rsidRPr="007C1505" w:rsidRDefault="008448F8" w:rsidP="007C1505">
          <w:pPr>
            <w:pStyle w:val="RubrikSidhuvud"/>
          </w:pPr>
          <w:r>
            <w:t>Bilaga till rapport</w:t>
          </w:r>
        </w:p>
      </w:tc>
      <w:tc>
        <w:tcPr>
          <w:tcW w:w="692" w:type="dxa"/>
        </w:tcPr>
        <w:p w14:paraId="3C415F33" w14:textId="77777777" w:rsidR="00B94B5C" w:rsidRPr="009164B5" w:rsidRDefault="00B94B5C" w:rsidP="006F3DB9">
          <w:pPr>
            <w:jc w:val="right"/>
          </w:pPr>
          <w:r w:rsidRPr="009164B5">
            <w:fldChar w:fldCharType="begin"/>
          </w:r>
          <w:r w:rsidRPr="009164B5">
            <w:instrText>PAGE   \* MERGEFORMAT</w:instrText>
          </w:r>
          <w:r w:rsidRPr="009164B5">
            <w:fldChar w:fldCharType="separate"/>
          </w:r>
          <w:r w:rsidR="0035306C">
            <w:rPr>
              <w:noProof/>
            </w:rPr>
            <w:t>1</w:t>
          </w:r>
          <w:r w:rsidRPr="009164B5">
            <w:fldChar w:fldCharType="end"/>
          </w:r>
          <w:r w:rsidRPr="009164B5">
            <w:t xml:space="preserve"> (</w:t>
          </w:r>
          <w:fldSimple w:instr=" NUMPAGES   \* MERGEFORMAT ">
            <w:r w:rsidR="0035306C">
              <w:rPr>
                <w:noProof/>
              </w:rPr>
              <w:t>1</w:t>
            </w:r>
          </w:fldSimple>
          <w:r w:rsidRPr="009164B5">
            <w:t>)</w:t>
          </w:r>
        </w:p>
      </w:tc>
    </w:tr>
    <w:tr w:rsidR="008448F8" w:rsidRPr="009164B5" w14:paraId="5095CBA3" w14:textId="77777777" w:rsidTr="00BD12EA">
      <w:trPr>
        <w:trHeight w:val="596"/>
      </w:trPr>
      <w:tc>
        <w:tcPr>
          <w:tcW w:w="4450" w:type="dxa"/>
          <w:vMerge/>
        </w:tcPr>
        <w:p w14:paraId="6CAC47DD" w14:textId="77777777" w:rsidR="008448F8" w:rsidRPr="009164B5" w:rsidRDefault="008448F8" w:rsidP="0016055F">
          <w:pPr>
            <w:rPr>
              <w:rFonts w:ascii="Calibri" w:eastAsia="Times New Roman" w:hAnsi="Calibri" w:cs="Times New Roman"/>
              <w:sz w:val="18"/>
            </w:rPr>
          </w:pPr>
        </w:p>
      </w:tc>
      <w:tc>
        <w:tcPr>
          <w:tcW w:w="4753" w:type="dxa"/>
          <w:gridSpan w:val="2"/>
        </w:tcPr>
        <w:p w14:paraId="284DED50" w14:textId="44D3045C" w:rsidR="008448F8" w:rsidRPr="008448F8" w:rsidRDefault="009C12E0" w:rsidP="00606706">
          <w:pPr>
            <w:pStyle w:val="Ledtextsidhuvud"/>
            <w:ind w:right="0"/>
            <w:rPr>
              <w:sz w:val="24"/>
            </w:rPr>
          </w:pPr>
          <w:r w:rsidRPr="001C47F1">
            <w:rPr>
              <w:sz w:val="24"/>
            </w:rPr>
            <w:t>Förstudie om öppna mötesplatser och möjligheter att nå svårnådda äldre personer med fokus på social förskrivning</w:t>
          </w:r>
          <w:r w:rsidRPr="008448F8">
            <w:rPr>
              <w:sz w:val="24"/>
            </w:rPr>
            <w:t xml:space="preserve">, </w:t>
          </w:r>
          <w:r>
            <w:rPr>
              <w:sz w:val="24"/>
            </w:rPr>
            <w:t>diarienummer SBU 2025/63</w:t>
          </w:r>
        </w:p>
      </w:tc>
    </w:tr>
    <w:tr w:rsidR="0035306C" w:rsidRPr="009164B5" w14:paraId="5FA4C0F9" w14:textId="77777777" w:rsidTr="00BD12EA">
      <w:trPr>
        <w:trHeight w:val="596"/>
      </w:trPr>
      <w:tc>
        <w:tcPr>
          <w:tcW w:w="4450" w:type="dxa"/>
        </w:tcPr>
        <w:p w14:paraId="1DB20130" w14:textId="77777777" w:rsidR="0035306C" w:rsidRPr="009164B5" w:rsidRDefault="0035306C" w:rsidP="0016055F">
          <w:pPr>
            <w:rPr>
              <w:rFonts w:ascii="Calibri" w:eastAsia="Times New Roman" w:hAnsi="Calibri" w:cs="Times New Roman"/>
              <w:sz w:val="18"/>
            </w:rPr>
          </w:pPr>
        </w:p>
      </w:tc>
      <w:tc>
        <w:tcPr>
          <w:tcW w:w="4753" w:type="dxa"/>
          <w:gridSpan w:val="2"/>
        </w:tcPr>
        <w:p w14:paraId="50E4412A" w14:textId="77777777" w:rsidR="0035306C" w:rsidRPr="008448F8" w:rsidRDefault="0035306C" w:rsidP="00606706">
          <w:pPr>
            <w:pStyle w:val="Ledtextsidhuvud"/>
            <w:ind w:right="0"/>
            <w:rPr>
              <w:sz w:val="24"/>
            </w:rPr>
          </w:pPr>
        </w:p>
      </w:tc>
    </w:tr>
  </w:tbl>
  <w:p w14:paraId="4E8BECB1" w14:textId="77777777" w:rsidR="0016055F" w:rsidRPr="0016055F" w:rsidRDefault="0016055F">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00FA0E"/>
    <w:lvl w:ilvl="0">
      <w:start w:val="1"/>
      <w:numFmt w:val="decimal"/>
      <w:lvlText w:val="%1."/>
      <w:lvlJc w:val="left"/>
      <w:pPr>
        <w:tabs>
          <w:tab w:val="num" w:pos="360"/>
        </w:tabs>
        <w:ind w:left="360" w:hanging="360"/>
      </w:pPr>
    </w:lvl>
  </w:abstractNum>
  <w:abstractNum w:abstractNumId="1" w15:restartNumberingAfterBreak="0">
    <w:nsid w:val="08F97574"/>
    <w:multiLevelType w:val="hybridMultilevel"/>
    <w:tmpl w:val="556A135E"/>
    <w:lvl w:ilvl="0" w:tplc="F49A47DC">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FF1AFD"/>
    <w:multiLevelType w:val="hybridMultilevel"/>
    <w:tmpl w:val="F68AA192"/>
    <w:lvl w:ilvl="0" w:tplc="EF18149A">
      <w:start w:val="1"/>
      <w:numFmt w:val="bullet"/>
      <w:pStyle w:val="Liststycke"/>
      <w:lvlText w:val="•"/>
      <w:lvlJc w:val="left"/>
      <w:pPr>
        <w:ind w:left="1440" w:hanging="360"/>
      </w:pPr>
      <w:rPr>
        <w:rFonts w:ascii="Calibri" w:hAnsi="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18D212D"/>
    <w:multiLevelType w:val="hybridMultilevel"/>
    <w:tmpl w:val="04FC9114"/>
    <w:lvl w:ilvl="0" w:tplc="0E0E99F4">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F782F16"/>
    <w:multiLevelType w:val="hybridMultilevel"/>
    <w:tmpl w:val="3BA8140A"/>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499080194">
    <w:abstractNumId w:val="2"/>
  </w:num>
  <w:num w:numId="2" w16cid:durableId="1024789506">
    <w:abstractNumId w:val="0"/>
    <w:lvlOverride w:ilvl="0">
      <w:startOverride w:val="1"/>
    </w:lvlOverride>
  </w:num>
  <w:num w:numId="3" w16cid:durableId="1082218930">
    <w:abstractNumId w:val="0"/>
  </w:num>
  <w:num w:numId="4" w16cid:durableId="207884960">
    <w:abstractNumId w:val="4"/>
  </w:num>
  <w:num w:numId="5" w16cid:durableId="698552838">
    <w:abstractNumId w:val="2"/>
  </w:num>
  <w:num w:numId="6" w16cid:durableId="2140105376">
    <w:abstractNumId w:val="1"/>
  </w:num>
  <w:num w:numId="7" w16cid:durableId="561718478">
    <w:abstractNumId w:val="2"/>
  </w:num>
  <w:num w:numId="8" w16cid:durableId="660544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E0"/>
    <w:rsid w:val="00001105"/>
    <w:rsid w:val="00003E6B"/>
    <w:rsid w:val="00005B6C"/>
    <w:rsid w:val="00054579"/>
    <w:rsid w:val="00073E54"/>
    <w:rsid w:val="0007764D"/>
    <w:rsid w:val="000803C6"/>
    <w:rsid w:val="000827A6"/>
    <w:rsid w:val="000B3051"/>
    <w:rsid w:val="00103EB7"/>
    <w:rsid w:val="00131AB9"/>
    <w:rsid w:val="00134F0D"/>
    <w:rsid w:val="0016055F"/>
    <w:rsid w:val="0018092A"/>
    <w:rsid w:val="00191CB8"/>
    <w:rsid w:val="001A5649"/>
    <w:rsid w:val="001D20F2"/>
    <w:rsid w:val="001D6408"/>
    <w:rsid w:val="001F08AD"/>
    <w:rsid w:val="002029E0"/>
    <w:rsid w:val="002204D9"/>
    <w:rsid w:val="002442B7"/>
    <w:rsid w:val="00267AC6"/>
    <w:rsid w:val="002C48FD"/>
    <w:rsid w:val="0034063D"/>
    <w:rsid w:val="003406F3"/>
    <w:rsid w:val="00342704"/>
    <w:rsid w:val="0035306C"/>
    <w:rsid w:val="00376030"/>
    <w:rsid w:val="00377696"/>
    <w:rsid w:val="003D0238"/>
    <w:rsid w:val="00402EB1"/>
    <w:rsid w:val="00405B90"/>
    <w:rsid w:val="004901CF"/>
    <w:rsid w:val="004A4372"/>
    <w:rsid w:val="004B11B2"/>
    <w:rsid w:val="004E67C3"/>
    <w:rsid w:val="004F6B83"/>
    <w:rsid w:val="00521B5E"/>
    <w:rsid w:val="0053003A"/>
    <w:rsid w:val="005A6911"/>
    <w:rsid w:val="005D0745"/>
    <w:rsid w:val="00600057"/>
    <w:rsid w:val="00606706"/>
    <w:rsid w:val="00677860"/>
    <w:rsid w:val="0069260A"/>
    <w:rsid w:val="006A1C0D"/>
    <w:rsid w:val="006F3DB9"/>
    <w:rsid w:val="00737C0B"/>
    <w:rsid w:val="0078668A"/>
    <w:rsid w:val="007B0114"/>
    <w:rsid w:val="007B1B4B"/>
    <w:rsid w:val="007C1505"/>
    <w:rsid w:val="007C1E47"/>
    <w:rsid w:val="008448F8"/>
    <w:rsid w:val="008E51B7"/>
    <w:rsid w:val="008F1808"/>
    <w:rsid w:val="009164B5"/>
    <w:rsid w:val="009C12E0"/>
    <w:rsid w:val="009D7F47"/>
    <w:rsid w:val="00A0252E"/>
    <w:rsid w:val="00A73431"/>
    <w:rsid w:val="00AB3485"/>
    <w:rsid w:val="00AB482D"/>
    <w:rsid w:val="00B145E5"/>
    <w:rsid w:val="00B217CA"/>
    <w:rsid w:val="00B31604"/>
    <w:rsid w:val="00B5086D"/>
    <w:rsid w:val="00B667A8"/>
    <w:rsid w:val="00B70C64"/>
    <w:rsid w:val="00B82F5A"/>
    <w:rsid w:val="00B94B5C"/>
    <w:rsid w:val="00BA109B"/>
    <w:rsid w:val="00BB3FA6"/>
    <w:rsid w:val="00BC75CD"/>
    <w:rsid w:val="00BF590C"/>
    <w:rsid w:val="00C528E5"/>
    <w:rsid w:val="00CC141B"/>
    <w:rsid w:val="00D277E7"/>
    <w:rsid w:val="00D41E6C"/>
    <w:rsid w:val="00D97DAF"/>
    <w:rsid w:val="00DA550C"/>
    <w:rsid w:val="00DD71CD"/>
    <w:rsid w:val="00E233B0"/>
    <w:rsid w:val="00E72D3F"/>
    <w:rsid w:val="00E923C5"/>
    <w:rsid w:val="00ED29D7"/>
    <w:rsid w:val="00F62CBF"/>
    <w:rsid w:val="00FB7B7C"/>
    <w:rsid w:val="00FD4F10"/>
    <w:rsid w:val="61ED3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A738"/>
  <w15:chartTrackingRefBased/>
  <w15:docId w15:val="{B5AB7D1B-173D-403C-BA28-6392B481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05"/>
    <w:pPr>
      <w:spacing w:after="240" w:line="240" w:lineRule="auto"/>
    </w:pPr>
    <w:rPr>
      <w:rFonts w:ascii="Garamond" w:hAnsi="Garamond"/>
      <w:sz w:val="24"/>
    </w:rPr>
  </w:style>
  <w:style w:type="paragraph" w:styleId="Rubrik1">
    <w:name w:val="heading 1"/>
    <w:basedOn w:val="Normal"/>
    <w:next w:val="Normal"/>
    <w:link w:val="Rubrik1Char"/>
    <w:uiPriority w:val="9"/>
    <w:qFormat/>
    <w:rsid w:val="0016055F"/>
    <w:pPr>
      <w:keepNext/>
      <w:keepLines/>
      <w:spacing w:before="240" w:after="0"/>
      <w:outlineLvl w:val="0"/>
    </w:pPr>
    <w:rPr>
      <w:rFonts w:asciiTheme="majorHAnsi" w:eastAsiaTheme="majorEastAsia" w:hAnsiTheme="majorHAnsi" w:cstheme="majorBidi"/>
      <w:color w:val="4472C4" w:themeColor="accent5"/>
      <w:sz w:val="32"/>
      <w:szCs w:val="32"/>
    </w:rPr>
  </w:style>
  <w:style w:type="paragraph" w:styleId="Rubrik2">
    <w:name w:val="heading 2"/>
    <w:basedOn w:val="Normal"/>
    <w:next w:val="Normal"/>
    <w:link w:val="Rubrik2Char"/>
    <w:uiPriority w:val="9"/>
    <w:unhideWhenUsed/>
    <w:qFormat/>
    <w:rsid w:val="0016055F"/>
    <w:pPr>
      <w:keepNext/>
      <w:keepLines/>
      <w:spacing w:before="40" w:after="0"/>
      <w:outlineLvl w:val="1"/>
    </w:pPr>
    <w:rPr>
      <w:rFonts w:asciiTheme="majorHAnsi" w:eastAsiaTheme="majorEastAsia" w:hAnsiTheme="majorHAnsi" w:cstheme="majorBidi"/>
      <w:color w:val="4472C4" w:themeColor="accent5"/>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64B5"/>
    <w:pPr>
      <w:tabs>
        <w:tab w:val="center" w:pos="4536"/>
        <w:tab w:val="right" w:pos="9072"/>
      </w:tabs>
      <w:spacing w:after="0"/>
    </w:pPr>
  </w:style>
  <w:style w:type="character" w:customStyle="1" w:styleId="SidhuvudChar">
    <w:name w:val="Sidhuvud Char"/>
    <w:basedOn w:val="Standardstycketeckensnitt"/>
    <w:link w:val="Sidhuvud"/>
    <w:uiPriority w:val="99"/>
    <w:rsid w:val="009164B5"/>
  </w:style>
  <w:style w:type="paragraph" w:styleId="Sidfot">
    <w:name w:val="footer"/>
    <w:basedOn w:val="Normal"/>
    <w:link w:val="SidfotChar"/>
    <w:uiPriority w:val="99"/>
    <w:unhideWhenUsed/>
    <w:rsid w:val="007C1505"/>
    <w:pPr>
      <w:spacing w:after="0"/>
      <w:ind w:right="-1134"/>
    </w:pPr>
    <w:rPr>
      <w:rFonts w:ascii="Calibri" w:eastAsia="Times New Roman" w:hAnsi="Calibri" w:cs="Times New Roman"/>
      <w:sz w:val="18"/>
      <w:szCs w:val="24"/>
    </w:rPr>
  </w:style>
  <w:style w:type="character" w:customStyle="1" w:styleId="SidfotChar">
    <w:name w:val="Sidfot Char"/>
    <w:basedOn w:val="Standardstycketeckensnitt"/>
    <w:link w:val="Sidfot"/>
    <w:uiPriority w:val="99"/>
    <w:rsid w:val="007C1505"/>
    <w:rPr>
      <w:rFonts w:ascii="Calibri" w:eastAsia="Times New Roman" w:hAnsi="Calibri" w:cs="Times New Roman"/>
      <w:sz w:val="18"/>
      <w:szCs w:val="24"/>
    </w:rPr>
  </w:style>
  <w:style w:type="table" w:styleId="Tabellrutnt">
    <w:name w:val="Table Grid"/>
    <w:basedOn w:val="Normaltabell"/>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Extra">
    <w:name w:val="RubrikExtra"/>
    <w:basedOn w:val="Normal"/>
    <w:link w:val="RubrikExtraChar"/>
    <w:rsid w:val="0016055F"/>
    <w:pPr>
      <w:keepNext/>
      <w:keepLines/>
      <w:spacing w:before="960" w:after="0"/>
      <w:outlineLvl w:val="3"/>
    </w:pPr>
    <w:rPr>
      <w:rFonts w:ascii="Calibri" w:eastAsia="Times New Roman" w:hAnsi="Calibri" w:cs="Times New Roman"/>
      <w:b/>
      <w:bCs/>
      <w:iCs/>
      <w:sz w:val="20"/>
      <w:szCs w:val="24"/>
    </w:rPr>
  </w:style>
  <w:style w:type="character" w:customStyle="1" w:styleId="Rubrik1Char">
    <w:name w:val="Rubrik 1 Char"/>
    <w:basedOn w:val="Standardstycketeckensnitt"/>
    <w:link w:val="Rubrik1"/>
    <w:uiPriority w:val="9"/>
    <w:rsid w:val="0016055F"/>
    <w:rPr>
      <w:rFonts w:asciiTheme="majorHAnsi" w:eastAsiaTheme="majorEastAsia" w:hAnsiTheme="majorHAnsi" w:cstheme="majorBidi"/>
      <w:color w:val="4472C4" w:themeColor="accent5"/>
      <w:sz w:val="32"/>
      <w:szCs w:val="32"/>
    </w:rPr>
  </w:style>
  <w:style w:type="character" w:customStyle="1" w:styleId="RubrikExtraChar">
    <w:name w:val="RubrikExtra Char"/>
    <w:basedOn w:val="Standardstycketeckensnitt"/>
    <w:link w:val="RubrikExtra"/>
    <w:rsid w:val="0016055F"/>
    <w:rPr>
      <w:rFonts w:ascii="Calibri" w:eastAsia="Times New Roman" w:hAnsi="Calibri" w:cs="Times New Roman"/>
      <w:b/>
      <w:bCs/>
      <w:iCs/>
      <w:sz w:val="20"/>
      <w:szCs w:val="24"/>
    </w:rPr>
  </w:style>
  <w:style w:type="character" w:customStyle="1" w:styleId="Rubrik2Char">
    <w:name w:val="Rubrik 2 Char"/>
    <w:basedOn w:val="Standardstycketeckensnitt"/>
    <w:link w:val="Rubrik2"/>
    <w:uiPriority w:val="9"/>
    <w:rsid w:val="0016055F"/>
    <w:rPr>
      <w:rFonts w:asciiTheme="majorHAnsi" w:eastAsiaTheme="majorEastAsia" w:hAnsiTheme="majorHAnsi" w:cstheme="majorBidi"/>
      <w:color w:val="4472C4" w:themeColor="accent5"/>
      <w:sz w:val="26"/>
      <w:szCs w:val="26"/>
    </w:rPr>
  </w:style>
  <w:style w:type="character" w:styleId="Starkbetoning">
    <w:name w:val="Intense Emphasis"/>
    <w:basedOn w:val="Standardstycketeckensnitt"/>
    <w:uiPriority w:val="21"/>
    <w:rsid w:val="0016055F"/>
    <w:rPr>
      <w:i/>
      <w:iCs/>
      <w:color w:val="4472C4" w:themeColor="accent5"/>
    </w:rPr>
  </w:style>
  <w:style w:type="paragraph" w:styleId="Starktcitat">
    <w:name w:val="Intense Quote"/>
    <w:basedOn w:val="Normal"/>
    <w:next w:val="Normal"/>
    <w:link w:val="StarktcitatChar"/>
    <w:uiPriority w:val="30"/>
    <w:rsid w:val="0016055F"/>
    <w:pPr>
      <w:pBdr>
        <w:top w:val="single" w:sz="4" w:space="10" w:color="5B9BD5" w:themeColor="accent1"/>
        <w:bottom w:val="single" w:sz="4" w:space="10" w:color="5B9BD5" w:themeColor="accent1"/>
      </w:pBdr>
      <w:spacing w:before="360" w:after="360"/>
      <w:ind w:left="864" w:right="864"/>
      <w:jc w:val="center"/>
    </w:pPr>
    <w:rPr>
      <w:i/>
      <w:iCs/>
      <w:color w:val="4472C4" w:themeColor="accent5"/>
    </w:rPr>
  </w:style>
  <w:style w:type="character" w:customStyle="1" w:styleId="StarktcitatChar">
    <w:name w:val="Starkt citat Char"/>
    <w:basedOn w:val="Standardstycketeckensnitt"/>
    <w:link w:val="Starktcitat"/>
    <w:uiPriority w:val="30"/>
    <w:rsid w:val="0016055F"/>
    <w:rPr>
      <w:i/>
      <w:iCs/>
      <w:color w:val="4472C4" w:themeColor="accent5"/>
    </w:rPr>
  </w:style>
  <w:style w:type="character" w:styleId="Starkreferens">
    <w:name w:val="Intense Reference"/>
    <w:basedOn w:val="Standardstycketeckensnitt"/>
    <w:uiPriority w:val="32"/>
    <w:rsid w:val="0016055F"/>
    <w:rPr>
      <w:b/>
      <w:bCs/>
      <w:smallCaps/>
      <w:color w:val="4472C4" w:themeColor="accent5"/>
      <w:spacing w:val="5"/>
    </w:rPr>
  </w:style>
  <w:style w:type="character" w:styleId="Platshllartext">
    <w:name w:val="Placeholder Text"/>
    <w:basedOn w:val="Standardstycketeckensnitt"/>
    <w:uiPriority w:val="99"/>
    <w:semiHidden/>
    <w:rsid w:val="002204D9"/>
    <w:rPr>
      <w:color w:val="808080"/>
    </w:rPr>
  </w:style>
  <w:style w:type="paragraph" w:customStyle="1" w:styleId="Svartrubrik1">
    <w:name w:val="Svart rubrik 1"/>
    <w:basedOn w:val="Rubrik1"/>
    <w:next w:val="Normal"/>
    <w:qFormat/>
    <w:rsid w:val="002204D9"/>
    <w:pPr>
      <w:spacing w:after="100"/>
      <w:outlineLvl w:val="1"/>
    </w:pPr>
    <w:rPr>
      <w:rFonts w:ascii="Calibri" w:eastAsia="Times New Roman" w:hAnsi="Calibri" w:cs="Times New Roman"/>
      <w:b/>
      <w:bCs/>
      <w:iCs/>
      <w:color w:val="auto"/>
      <w:sz w:val="28"/>
      <w:szCs w:val="28"/>
      <w:lang w:eastAsia="sv-SE"/>
    </w:rPr>
  </w:style>
  <w:style w:type="paragraph" w:customStyle="1" w:styleId="RubrikSidhuvud">
    <w:name w:val="Rubrik Sidhuvud"/>
    <w:basedOn w:val="Svartrubrik1"/>
    <w:next w:val="Normal"/>
    <w:rsid w:val="007C1505"/>
    <w:pPr>
      <w:spacing w:before="60" w:after="0"/>
    </w:pPr>
    <w:rPr>
      <w:kern w:val="32"/>
      <w:sz w:val="32"/>
      <w:szCs w:val="52"/>
    </w:rPr>
  </w:style>
  <w:style w:type="paragraph" w:customStyle="1" w:styleId="Svartrubrik2">
    <w:name w:val="Svart rubrik 2"/>
    <w:basedOn w:val="Svartrubrik1"/>
    <w:next w:val="Normal"/>
    <w:qFormat/>
    <w:rsid w:val="007C1505"/>
    <w:rPr>
      <w:sz w:val="24"/>
    </w:rPr>
  </w:style>
  <w:style w:type="paragraph" w:customStyle="1" w:styleId="Ledtextsidhuvud">
    <w:name w:val="Ledtext sidhuvud"/>
    <w:basedOn w:val="Sidfot"/>
    <w:rsid w:val="007C1505"/>
  </w:style>
  <w:style w:type="paragraph" w:styleId="Liststycke">
    <w:name w:val="List Paragraph"/>
    <w:basedOn w:val="Normal"/>
    <w:uiPriority w:val="34"/>
    <w:qFormat/>
    <w:rsid w:val="007C1505"/>
    <w:pPr>
      <w:numPr>
        <w:numId w:val="1"/>
      </w:numPr>
      <w:contextualSpacing/>
    </w:pPr>
    <w:rPr>
      <w:szCs w:val="24"/>
    </w:rPr>
  </w:style>
  <w:style w:type="paragraph" w:styleId="Fotnotstext">
    <w:name w:val="footnote text"/>
    <w:basedOn w:val="Normal"/>
    <w:link w:val="FotnotstextChar"/>
    <w:uiPriority w:val="99"/>
    <w:semiHidden/>
    <w:unhideWhenUsed/>
    <w:rsid w:val="009C12E0"/>
    <w:pPr>
      <w:spacing w:after="0"/>
    </w:pPr>
    <w:rPr>
      <w:rFonts w:asciiTheme="minorHAnsi" w:hAnsiTheme="minorHAnsi"/>
      <w:kern w:val="2"/>
      <w:sz w:val="20"/>
      <w:szCs w:val="20"/>
      <w14:ligatures w14:val="standardContextual"/>
    </w:rPr>
  </w:style>
  <w:style w:type="character" w:customStyle="1" w:styleId="FotnotstextChar">
    <w:name w:val="Fotnotstext Char"/>
    <w:basedOn w:val="Standardstycketeckensnitt"/>
    <w:link w:val="Fotnotstext"/>
    <w:uiPriority w:val="99"/>
    <w:semiHidden/>
    <w:rsid w:val="009C12E0"/>
    <w:rPr>
      <w:kern w:val="2"/>
      <w:sz w:val="20"/>
      <w:szCs w:val="20"/>
      <w14:ligatures w14:val="standardContextual"/>
    </w:rPr>
  </w:style>
  <w:style w:type="character" w:styleId="Fotnotsreferens">
    <w:name w:val="footnote reference"/>
    <w:basedOn w:val="Standardstycketeckensnitt"/>
    <w:uiPriority w:val="99"/>
    <w:semiHidden/>
    <w:unhideWhenUsed/>
    <w:rsid w:val="009C12E0"/>
    <w:rPr>
      <w:vertAlign w:val="superscript"/>
    </w:rPr>
  </w:style>
  <w:style w:type="paragraph" w:customStyle="1" w:styleId="EndNoteBibliography">
    <w:name w:val="EndNote Bibliography"/>
    <w:basedOn w:val="Normal"/>
    <w:link w:val="EndNoteBibliographyChar"/>
    <w:rsid w:val="009C12E0"/>
    <w:pPr>
      <w:spacing w:after="160"/>
    </w:pPr>
    <w:rPr>
      <w:rFonts w:ascii="Aptos" w:hAnsi="Aptos"/>
      <w:noProof/>
      <w:kern w:val="2"/>
      <w:sz w:val="22"/>
      <w:lang w:val="en-US"/>
      <w14:ligatures w14:val="standardContextual"/>
    </w:rPr>
  </w:style>
  <w:style w:type="character" w:customStyle="1" w:styleId="EndNoteBibliographyChar">
    <w:name w:val="EndNote Bibliography Char"/>
    <w:basedOn w:val="Standardstycketeckensnitt"/>
    <w:link w:val="EndNoteBibliography"/>
    <w:rsid w:val="009C12E0"/>
    <w:rPr>
      <w:rFonts w:ascii="Aptos" w:hAnsi="Aptos"/>
      <w:noProof/>
      <w:kern w:val="2"/>
      <w:lang w:val="en-US"/>
      <w14:ligatures w14:val="standardContextual"/>
    </w:rPr>
  </w:style>
  <w:style w:type="character" w:styleId="Kommentarsreferens">
    <w:name w:val="annotation reference"/>
    <w:basedOn w:val="Standardstycketeckensnitt"/>
    <w:uiPriority w:val="99"/>
    <w:semiHidden/>
    <w:unhideWhenUsed/>
    <w:rsid w:val="00376030"/>
    <w:rPr>
      <w:sz w:val="16"/>
      <w:szCs w:val="16"/>
    </w:rPr>
  </w:style>
  <w:style w:type="paragraph" w:styleId="Kommentarer">
    <w:name w:val="annotation text"/>
    <w:basedOn w:val="Normal"/>
    <w:link w:val="KommentarerChar"/>
    <w:uiPriority w:val="99"/>
    <w:unhideWhenUsed/>
    <w:rsid w:val="00342704"/>
    <w:pPr>
      <w:spacing w:after="160"/>
    </w:pPr>
    <w:rPr>
      <w:rFonts w:asciiTheme="minorHAnsi" w:hAnsiTheme="minorHAnsi"/>
      <w:kern w:val="2"/>
      <w:sz w:val="20"/>
      <w:szCs w:val="20"/>
      <w14:ligatures w14:val="standardContextual"/>
    </w:rPr>
  </w:style>
  <w:style w:type="character" w:customStyle="1" w:styleId="KommentarerChar">
    <w:name w:val="Kommentarer Char"/>
    <w:basedOn w:val="Standardstycketeckensnitt"/>
    <w:link w:val="Kommentarer"/>
    <w:uiPriority w:val="99"/>
    <w:rsid w:val="00342704"/>
    <w:rPr>
      <w:kern w:val="2"/>
      <w:sz w:val="20"/>
      <w:szCs w:val="20"/>
      <w14:ligatures w14:val="standardContextual"/>
    </w:rPr>
  </w:style>
  <w:style w:type="paragraph" w:styleId="Revision">
    <w:name w:val="Revision"/>
    <w:hidden/>
    <w:uiPriority w:val="99"/>
    <w:semiHidden/>
    <w:rsid w:val="002C48FD"/>
    <w:pPr>
      <w:spacing w:after="0" w:line="240" w:lineRule="auto"/>
    </w:pPr>
    <w:rPr>
      <w:rFonts w:ascii="Garamond" w:hAnsi="Garamond"/>
      <w:sz w:val="24"/>
    </w:rPr>
  </w:style>
  <w:style w:type="paragraph" w:styleId="Kommentarsmne">
    <w:name w:val="annotation subject"/>
    <w:basedOn w:val="Kommentarer"/>
    <w:next w:val="Kommentarer"/>
    <w:link w:val="KommentarsmneChar"/>
    <w:uiPriority w:val="99"/>
    <w:semiHidden/>
    <w:unhideWhenUsed/>
    <w:rsid w:val="00D41E6C"/>
    <w:pPr>
      <w:spacing w:after="240"/>
    </w:pPr>
    <w:rPr>
      <w:rFonts w:ascii="Garamond" w:hAnsi="Garamond"/>
      <w:b/>
      <w:bCs/>
      <w:kern w:val="0"/>
      <w14:ligatures w14:val="none"/>
    </w:rPr>
  </w:style>
  <w:style w:type="character" w:customStyle="1" w:styleId="KommentarsmneChar">
    <w:name w:val="Kommentarsämne Char"/>
    <w:basedOn w:val="KommentarerChar"/>
    <w:link w:val="Kommentarsmne"/>
    <w:uiPriority w:val="99"/>
    <w:semiHidden/>
    <w:rsid w:val="00D41E6C"/>
    <w:rPr>
      <w:rFonts w:ascii="Garamond" w:hAnsi="Garamond"/>
      <w:b/>
      <w:bCs/>
      <w:kern w:val="2"/>
      <w:sz w:val="20"/>
      <w:szCs w:val="20"/>
      <w14:ligatures w14:val="standardContextual"/>
    </w:rPr>
  </w:style>
  <w:style w:type="character" w:styleId="Nmn">
    <w:name w:val="Mention"/>
    <w:basedOn w:val="Standardstycketeckensnitt"/>
    <w:uiPriority w:val="99"/>
    <w:unhideWhenUsed/>
    <w:rsid w:val="004B11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t\AppData\Roaming\Microsoft\Mallar\Projekt\Bilaga%20till%20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8D72EC68E0FA47BDA978162C5770CA" ma:contentTypeVersion="4" ma:contentTypeDescription="Skapa ett nytt dokument." ma:contentTypeScope="" ma:versionID="689ee413538ab6edffe25dc8831d02bc">
  <xsd:schema xmlns:xsd="http://www.w3.org/2001/XMLSchema" xmlns:xs="http://www.w3.org/2001/XMLSchema" xmlns:p="http://schemas.microsoft.com/office/2006/metadata/properties" xmlns:ns2="0dfadbd6-de6e-4258-9f7c-f3e61848be19" targetNamespace="http://schemas.microsoft.com/office/2006/metadata/properties" ma:root="true" ma:fieldsID="25405d96ea743a46209bd7530645a163" ns2:_="">
    <xsd:import namespace="0dfadbd6-de6e-4258-9f7c-f3e61848be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adbd6-de6e-4258-9f7c-f3e61848b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73FA1-6368-4369-8EEC-41D9CA314EBE}">
  <ds:schemaRefs>
    <ds:schemaRef ds:uri="http://schemas.openxmlformats.org/officeDocument/2006/bibliography"/>
  </ds:schemaRefs>
</ds:datastoreItem>
</file>

<file path=customXml/itemProps2.xml><?xml version="1.0" encoding="utf-8"?>
<ds:datastoreItem xmlns:ds="http://schemas.openxmlformats.org/officeDocument/2006/customXml" ds:itemID="{03B016B0-CFDA-4903-A2BE-FFEAB56DC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adbd6-de6e-4258-9f7c-f3e61848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12B7C-0752-4DA3-A3C6-A5936AA2DDA2}">
  <ds:schemaRefs>
    <ds:schemaRef ds:uri="http://schemas.microsoft.com/sharepoint/v3/contenttype/forms"/>
  </ds:schemaRefs>
</ds:datastoreItem>
</file>

<file path=customXml/itemProps4.xml><?xml version="1.0" encoding="utf-8"?>
<ds:datastoreItem xmlns:ds="http://schemas.openxmlformats.org/officeDocument/2006/customXml" ds:itemID="{7DCBC2C8-D156-4409-BD41-DCE4EA985D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Bilaga till rapport</Template>
  <TotalTime>81</TotalTime>
  <Pages>4</Pages>
  <Words>1010</Words>
  <Characters>5359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SBU</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Attergren Granath</dc:creator>
  <cp:keywords/>
  <dc:description/>
  <cp:lastModifiedBy>Lillemor Dimberg</cp:lastModifiedBy>
  <cp:revision>41</cp:revision>
  <dcterms:created xsi:type="dcterms:W3CDTF">2025-05-08T08:20:00Z</dcterms:created>
  <dcterms:modified xsi:type="dcterms:W3CDTF">2025-05-15T13:23:00Z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0x010100D08D72EC68E0FA47BDA978162C5770CA</vt:lpwstr>
  </property>
</Properties>
</file>