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24038" w14:textId="625450CD" w:rsidR="0031733B" w:rsidRDefault="0031733B" w:rsidP="0031733B">
      <w:pPr>
        <w:pStyle w:val="Rubrik2"/>
      </w:pPr>
      <w:r w:rsidRPr="00D96DA8">
        <w:rPr>
          <w:rFonts w:asciiTheme="minorHAnsi" w:hAnsiTheme="minorHAnsi"/>
          <w:sz w:val="28"/>
          <w:szCs w:val="28"/>
        </w:rPr>
        <w:t xml:space="preserve">Bilaga 3 Tabell med inkluderade primärstudier om social förskrivning (social </w:t>
      </w:r>
      <w:proofErr w:type="spellStart"/>
      <w:r w:rsidR="00026EF3" w:rsidRPr="00D96DA8">
        <w:rPr>
          <w:rFonts w:asciiTheme="minorHAnsi" w:hAnsiTheme="minorHAnsi"/>
          <w:sz w:val="28"/>
          <w:szCs w:val="28"/>
        </w:rPr>
        <w:t>presc</w:t>
      </w:r>
      <w:r w:rsidR="00026EF3">
        <w:rPr>
          <w:rFonts w:asciiTheme="minorHAnsi" w:hAnsiTheme="minorHAnsi"/>
          <w:sz w:val="28"/>
          <w:szCs w:val="28"/>
        </w:rPr>
        <w:t>ribing</w:t>
      </w:r>
      <w:proofErr w:type="spellEnd"/>
      <w:r w:rsidRPr="00D96DA8">
        <w:rPr>
          <w:rFonts w:asciiTheme="minorHAnsi" w:hAnsiTheme="minorHAnsi"/>
          <w:sz w:val="28"/>
          <w:szCs w:val="28"/>
        </w:rPr>
        <w:t>)</w:t>
      </w:r>
      <w:r>
        <w:t xml:space="preserve"> </w:t>
      </w:r>
    </w:p>
    <w:p w14:paraId="57FD6A42" w14:textId="77777777" w:rsidR="00BD6467" w:rsidRPr="00BD6467" w:rsidRDefault="00BD6467" w:rsidP="00BD6467"/>
    <w:p w14:paraId="46AC07F2" w14:textId="4A1C4840" w:rsidR="00C40954" w:rsidRPr="007F1EAA" w:rsidRDefault="0031733B" w:rsidP="00C40954">
      <w:pPr>
        <w:pStyle w:val="Rubrik2"/>
        <w:rPr>
          <w:rFonts w:asciiTheme="minorHAnsi" w:hAnsiTheme="minorHAnsi" w:cstheme="minorHAnsi"/>
          <w:sz w:val="24"/>
          <w:szCs w:val="24"/>
        </w:rPr>
      </w:pPr>
      <w:proofErr w:type="spellStart"/>
      <w:r w:rsidRPr="00156EE6">
        <w:rPr>
          <w:rFonts w:asciiTheme="minorHAnsi" w:hAnsiTheme="minorHAnsi"/>
          <w:sz w:val="24"/>
          <w:szCs w:val="24"/>
        </w:rPr>
        <w:t>Primärstudierna</w:t>
      </w:r>
      <w:proofErr w:type="spellEnd"/>
      <w:r w:rsidRPr="00156EE6">
        <w:rPr>
          <w:rFonts w:asciiTheme="minorHAnsi" w:hAnsiTheme="minorHAnsi"/>
          <w:sz w:val="24"/>
          <w:szCs w:val="24"/>
        </w:rPr>
        <w:t xml:space="preserve"> </w:t>
      </w:r>
      <w:r w:rsidR="00C51744">
        <w:rPr>
          <w:rFonts w:asciiTheme="minorHAnsi" w:hAnsiTheme="minorHAnsi"/>
          <w:sz w:val="24"/>
          <w:szCs w:val="24"/>
        </w:rPr>
        <w:t xml:space="preserve">(n=15) </w:t>
      </w:r>
      <w:r w:rsidRPr="00156EE6">
        <w:rPr>
          <w:rFonts w:asciiTheme="minorHAnsi" w:hAnsiTheme="minorHAnsi"/>
          <w:sz w:val="24"/>
          <w:szCs w:val="24"/>
        </w:rPr>
        <w:t xml:space="preserve">är indelade i fyra utfallskategorier; </w:t>
      </w:r>
      <w:r w:rsidR="00C40954" w:rsidRPr="007F1EAA">
        <w:rPr>
          <w:rFonts w:asciiTheme="minorHAnsi" w:hAnsiTheme="minorHAnsi" w:cstheme="minorHAnsi"/>
          <w:sz w:val="24"/>
          <w:szCs w:val="24"/>
        </w:rPr>
        <w:t>1= Fysiologisk/klinisk (</w:t>
      </w:r>
      <w:proofErr w:type="spellStart"/>
      <w:r w:rsidR="00C40954" w:rsidRPr="007F1EAA">
        <w:rPr>
          <w:rFonts w:asciiTheme="minorHAnsi" w:hAnsiTheme="minorHAnsi" w:cstheme="minorHAnsi"/>
          <w:sz w:val="24"/>
          <w:szCs w:val="24"/>
        </w:rPr>
        <w:t>Physiologic</w:t>
      </w:r>
      <w:proofErr w:type="spellEnd"/>
      <w:r w:rsidR="00C40954" w:rsidRPr="007F1EAA">
        <w:rPr>
          <w:rFonts w:asciiTheme="minorHAnsi" w:hAnsiTheme="minorHAnsi" w:cstheme="minorHAnsi"/>
          <w:sz w:val="24"/>
          <w:szCs w:val="24"/>
        </w:rPr>
        <w:t xml:space="preserve">/Clinical), 2=Påverkan på livet (Life </w:t>
      </w:r>
      <w:proofErr w:type="spellStart"/>
      <w:r w:rsidR="00C40954" w:rsidRPr="007F1EAA">
        <w:rPr>
          <w:rFonts w:asciiTheme="minorHAnsi" w:hAnsiTheme="minorHAnsi" w:cstheme="minorHAnsi"/>
          <w:sz w:val="24"/>
          <w:szCs w:val="24"/>
        </w:rPr>
        <w:t>impact</w:t>
      </w:r>
      <w:proofErr w:type="spellEnd"/>
      <w:r w:rsidR="00C40954" w:rsidRPr="007F1EAA">
        <w:rPr>
          <w:rFonts w:asciiTheme="minorHAnsi" w:hAnsiTheme="minorHAnsi" w:cstheme="minorHAnsi"/>
          <w:sz w:val="24"/>
          <w:szCs w:val="24"/>
        </w:rPr>
        <w:t xml:space="preserve">), 3=Tillhandahållen vård (Provision </w:t>
      </w:r>
      <w:proofErr w:type="spellStart"/>
      <w:r w:rsidR="00C40954" w:rsidRPr="007F1EAA">
        <w:rPr>
          <w:rFonts w:asciiTheme="minorHAnsi" w:hAnsiTheme="minorHAnsi" w:cstheme="minorHAnsi"/>
          <w:sz w:val="24"/>
          <w:szCs w:val="24"/>
        </w:rPr>
        <w:t>of</w:t>
      </w:r>
      <w:proofErr w:type="spellEnd"/>
      <w:r w:rsidR="00C40954" w:rsidRPr="007F1EAA">
        <w:rPr>
          <w:rFonts w:asciiTheme="minorHAnsi" w:hAnsiTheme="minorHAnsi" w:cstheme="minorHAnsi"/>
          <w:sz w:val="24"/>
          <w:szCs w:val="24"/>
        </w:rPr>
        <w:t xml:space="preserve"> </w:t>
      </w:r>
      <w:proofErr w:type="spellStart"/>
      <w:r w:rsidR="00C40954" w:rsidRPr="007F1EAA">
        <w:rPr>
          <w:rFonts w:asciiTheme="minorHAnsi" w:hAnsiTheme="minorHAnsi" w:cstheme="minorHAnsi"/>
          <w:sz w:val="24"/>
          <w:szCs w:val="24"/>
        </w:rPr>
        <w:t>care</w:t>
      </w:r>
      <w:proofErr w:type="spellEnd"/>
      <w:r w:rsidR="00C40954" w:rsidRPr="007F1EAA">
        <w:rPr>
          <w:rFonts w:asciiTheme="minorHAnsi" w:hAnsiTheme="minorHAnsi" w:cstheme="minorHAnsi"/>
          <w:sz w:val="24"/>
          <w:szCs w:val="24"/>
        </w:rPr>
        <w:t>), 4=Utnyttjande av resurser (</w:t>
      </w:r>
      <w:proofErr w:type="spellStart"/>
      <w:r w:rsidR="00C40954" w:rsidRPr="007F1EAA">
        <w:rPr>
          <w:rFonts w:asciiTheme="minorHAnsi" w:hAnsiTheme="minorHAnsi" w:cstheme="minorHAnsi"/>
          <w:sz w:val="24"/>
          <w:szCs w:val="24"/>
        </w:rPr>
        <w:t>Use</w:t>
      </w:r>
      <w:proofErr w:type="spellEnd"/>
      <w:r w:rsidR="00C40954" w:rsidRPr="007F1EAA">
        <w:rPr>
          <w:rFonts w:asciiTheme="minorHAnsi" w:hAnsiTheme="minorHAnsi" w:cstheme="minorHAnsi"/>
          <w:sz w:val="24"/>
          <w:szCs w:val="24"/>
        </w:rPr>
        <w:t xml:space="preserve"> </w:t>
      </w:r>
      <w:proofErr w:type="spellStart"/>
      <w:r w:rsidR="00C40954" w:rsidRPr="007F1EAA">
        <w:rPr>
          <w:rFonts w:asciiTheme="minorHAnsi" w:hAnsiTheme="minorHAnsi" w:cstheme="minorHAnsi"/>
          <w:sz w:val="24"/>
          <w:szCs w:val="24"/>
        </w:rPr>
        <w:t>of</w:t>
      </w:r>
      <w:proofErr w:type="spellEnd"/>
      <w:r w:rsidR="00C40954" w:rsidRPr="007F1EAA">
        <w:rPr>
          <w:rFonts w:asciiTheme="minorHAnsi" w:hAnsiTheme="minorHAnsi" w:cstheme="minorHAnsi"/>
          <w:sz w:val="24"/>
          <w:szCs w:val="24"/>
        </w:rPr>
        <w:t xml:space="preserve"> </w:t>
      </w:r>
      <w:proofErr w:type="spellStart"/>
      <w:r w:rsidR="00C40954" w:rsidRPr="007F1EAA">
        <w:rPr>
          <w:rFonts w:asciiTheme="minorHAnsi" w:hAnsiTheme="minorHAnsi" w:cstheme="minorHAnsi"/>
          <w:sz w:val="24"/>
          <w:szCs w:val="24"/>
        </w:rPr>
        <w:t>resources</w:t>
      </w:r>
      <w:proofErr w:type="spellEnd"/>
      <w:r w:rsidR="00C40954" w:rsidRPr="007F1EAA">
        <w:rPr>
          <w:rFonts w:asciiTheme="minorHAnsi" w:hAnsiTheme="minorHAnsi" w:cstheme="minorHAnsi"/>
          <w:sz w:val="24"/>
          <w:szCs w:val="24"/>
        </w:rPr>
        <w:t xml:space="preserve">). </w:t>
      </w:r>
    </w:p>
    <w:p w14:paraId="79FEF6D3" w14:textId="65FFDD1D" w:rsidR="0031733B" w:rsidRPr="00C40954" w:rsidRDefault="0031733B" w:rsidP="0031733B">
      <w:pPr>
        <w:rPr>
          <w:b/>
          <w:bCs/>
        </w:rPr>
      </w:pPr>
    </w:p>
    <w:tbl>
      <w:tblPr>
        <w:tblStyle w:val="Listtabell3dekorfrg1"/>
        <w:tblW w:w="0" w:type="auto"/>
        <w:tblLook w:val="04A0" w:firstRow="1" w:lastRow="0" w:firstColumn="1" w:lastColumn="0" w:noHBand="0" w:noVBand="1"/>
      </w:tblPr>
      <w:tblGrid>
        <w:gridCol w:w="1922"/>
        <w:gridCol w:w="1770"/>
        <w:gridCol w:w="1577"/>
        <w:gridCol w:w="1423"/>
        <w:gridCol w:w="2370"/>
      </w:tblGrid>
      <w:tr w:rsidR="005A7EF6" w:rsidRPr="00AC03F2" w14:paraId="77B5A786" w14:textId="77777777" w:rsidTr="005A7EF6">
        <w:trPr>
          <w:cnfStyle w:val="100000000000" w:firstRow="1" w:lastRow="0" w:firstColumn="0" w:lastColumn="0" w:oddVBand="0" w:evenVBand="0" w:oddHBand="0" w:evenHBand="0" w:firstRowFirstColumn="0" w:firstRowLastColumn="0" w:lastRowFirstColumn="0" w:lastRowLastColumn="0"/>
          <w:trHeight w:val="1062"/>
        </w:trPr>
        <w:tc>
          <w:tcPr>
            <w:cnfStyle w:val="001000000100" w:firstRow="0" w:lastRow="0" w:firstColumn="1" w:lastColumn="0" w:oddVBand="0" w:evenVBand="0" w:oddHBand="0" w:evenHBand="0" w:firstRowFirstColumn="1" w:firstRowLastColumn="0" w:lastRowFirstColumn="0" w:lastRowLastColumn="0"/>
            <w:tcW w:w="1922" w:type="dxa"/>
            <w:shd w:val="clear" w:color="auto" w:fill="2E74B5" w:themeFill="accent1" w:themeFillShade="BF"/>
          </w:tcPr>
          <w:p w14:paraId="2642CAB9" w14:textId="77777777" w:rsidR="0031733B" w:rsidRPr="00AC03F2" w:rsidRDefault="0031733B">
            <w:pPr>
              <w:rPr>
                <w:rFonts w:ascii="Aptos" w:hAnsi="Aptos"/>
                <w:sz w:val="22"/>
              </w:rPr>
            </w:pPr>
            <w:proofErr w:type="spellStart"/>
            <w:r w:rsidRPr="00AC03F2">
              <w:rPr>
                <w:rFonts w:ascii="Aptos" w:hAnsi="Aptos"/>
                <w:sz w:val="22"/>
              </w:rPr>
              <w:t>Author</w:t>
            </w:r>
            <w:proofErr w:type="spellEnd"/>
          </w:p>
          <w:p w14:paraId="6B67F2DF" w14:textId="77777777" w:rsidR="0031733B" w:rsidRPr="00AC03F2" w:rsidRDefault="0031733B">
            <w:pPr>
              <w:rPr>
                <w:rFonts w:ascii="Aptos" w:hAnsi="Aptos"/>
                <w:sz w:val="22"/>
              </w:rPr>
            </w:pPr>
            <w:proofErr w:type="spellStart"/>
            <w:r w:rsidRPr="00AC03F2">
              <w:rPr>
                <w:rFonts w:ascii="Aptos" w:hAnsi="Aptos"/>
                <w:sz w:val="22"/>
              </w:rPr>
              <w:t>Year</w:t>
            </w:r>
            <w:proofErr w:type="spellEnd"/>
          </w:p>
          <w:p w14:paraId="0DDD42C9" w14:textId="77777777" w:rsidR="0031733B" w:rsidRPr="00AC03F2" w:rsidRDefault="0031733B">
            <w:pPr>
              <w:rPr>
                <w:rFonts w:ascii="Aptos" w:hAnsi="Aptos"/>
                <w:sz w:val="22"/>
              </w:rPr>
            </w:pPr>
            <w:r w:rsidRPr="00AC03F2">
              <w:rPr>
                <w:rFonts w:ascii="Aptos" w:hAnsi="Aptos"/>
                <w:sz w:val="22"/>
              </w:rPr>
              <w:t>Country</w:t>
            </w:r>
          </w:p>
          <w:p w14:paraId="7C57D08A" w14:textId="77777777" w:rsidR="0031733B" w:rsidRPr="00AC03F2" w:rsidRDefault="0031733B">
            <w:pPr>
              <w:rPr>
                <w:rFonts w:ascii="Aptos" w:hAnsi="Aptos"/>
                <w:sz w:val="22"/>
              </w:rPr>
            </w:pPr>
            <w:proofErr w:type="spellStart"/>
            <w:r w:rsidRPr="00AC03F2">
              <w:rPr>
                <w:rFonts w:ascii="Aptos" w:hAnsi="Aptos"/>
                <w:sz w:val="22"/>
              </w:rPr>
              <w:t>Reference</w:t>
            </w:r>
            <w:proofErr w:type="spellEnd"/>
          </w:p>
        </w:tc>
        <w:tc>
          <w:tcPr>
            <w:tcW w:w="1770" w:type="dxa"/>
            <w:shd w:val="clear" w:color="auto" w:fill="2E74B5" w:themeFill="accent1" w:themeFillShade="BF"/>
          </w:tcPr>
          <w:p w14:paraId="4FE82ED3" w14:textId="77777777" w:rsidR="0031733B" w:rsidRPr="00AC03F2" w:rsidRDefault="0031733B" w:rsidP="004E1E97">
            <w:pPr>
              <w:jc w:val="center"/>
              <w:cnfStyle w:val="100000000000" w:firstRow="1" w:lastRow="0" w:firstColumn="0" w:lastColumn="0" w:oddVBand="0" w:evenVBand="0" w:oddHBand="0" w:evenHBand="0" w:firstRowFirstColumn="0" w:firstRowLastColumn="0" w:lastRowFirstColumn="0" w:lastRowLastColumn="0"/>
              <w:rPr>
                <w:rFonts w:ascii="Aptos" w:hAnsi="Aptos"/>
                <w:sz w:val="22"/>
              </w:rPr>
            </w:pPr>
            <w:proofErr w:type="spellStart"/>
            <w:r w:rsidRPr="00AC03F2">
              <w:rPr>
                <w:rFonts w:ascii="Aptos" w:hAnsi="Aptos"/>
                <w:sz w:val="22"/>
              </w:rPr>
              <w:t>Aim</w:t>
            </w:r>
            <w:proofErr w:type="spellEnd"/>
          </w:p>
        </w:tc>
        <w:tc>
          <w:tcPr>
            <w:tcW w:w="1577" w:type="dxa"/>
            <w:shd w:val="clear" w:color="auto" w:fill="2E74B5" w:themeFill="accent1" w:themeFillShade="BF"/>
          </w:tcPr>
          <w:p w14:paraId="195935B0" w14:textId="77777777" w:rsidR="0031733B" w:rsidRPr="00AC03F2" w:rsidRDefault="0031733B" w:rsidP="004E1E97">
            <w:pPr>
              <w:jc w:val="center"/>
              <w:cnfStyle w:val="100000000000" w:firstRow="1" w:lastRow="0" w:firstColumn="0" w:lastColumn="0" w:oddVBand="0" w:evenVBand="0" w:oddHBand="0" w:evenHBand="0" w:firstRowFirstColumn="0" w:firstRowLastColumn="0" w:lastRowFirstColumn="0" w:lastRowLastColumn="0"/>
              <w:rPr>
                <w:rFonts w:ascii="Aptos" w:hAnsi="Aptos"/>
                <w:sz w:val="22"/>
              </w:rPr>
            </w:pPr>
            <w:proofErr w:type="spellStart"/>
            <w:r w:rsidRPr="00AC03F2">
              <w:rPr>
                <w:rFonts w:ascii="Aptos" w:hAnsi="Aptos"/>
                <w:sz w:val="22"/>
              </w:rPr>
              <w:t>Studydesign</w:t>
            </w:r>
            <w:proofErr w:type="spellEnd"/>
          </w:p>
        </w:tc>
        <w:tc>
          <w:tcPr>
            <w:tcW w:w="1423" w:type="dxa"/>
            <w:shd w:val="clear" w:color="auto" w:fill="2E74B5" w:themeFill="accent1" w:themeFillShade="BF"/>
          </w:tcPr>
          <w:p w14:paraId="0E6D5D09" w14:textId="77777777" w:rsidR="0031733B" w:rsidRPr="00AC03F2" w:rsidRDefault="0031733B" w:rsidP="004E1E97">
            <w:pPr>
              <w:jc w:val="center"/>
              <w:cnfStyle w:val="100000000000" w:firstRow="1" w:lastRow="0" w:firstColumn="0" w:lastColumn="0" w:oddVBand="0" w:evenVBand="0" w:oddHBand="0" w:evenHBand="0" w:firstRowFirstColumn="0" w:firstRowLastColumn="0" w:lastRowFirstColumn="0" w:lastRowLastColumn="0"/>
              <w:rPr>
                <w:rFonts w:ascii="Aptos" w:hAnsi="Aptos"/>
                <w:sz w:val="22"/>
              </w:rPr>
            </w:pPr>
            <w:r w:rsidRPr="00AC03F2">
              <w:rPr>
                <w:rFonts w:ascii="Aptos" w:hAnsi="Aptos"/>
                <w:sz w:val="22"/>
              </w:rPr>
              <w:t>Population</w:t>
            </w:r>
          </w:p>
        </w:tc>
        <w:tc>
          <w:tcPr>
            <w:tcW w:w="2370" w:type="dxa"/>
            <w:shd w:val="clear" w:color="auto" w:fill="2E74B5" w:themeFill="accent1" w:themeFillShade="BF"/>
          </w:tcPr>
          <w:p w14:paraId="1496C94F" w14:textId="77777777" w:rsidR="0031733B" w:rsidRPr="00AC03F2" w:rsidRDefault="0031733B" w:rsidP="004E1E97">
            <w:pPr>
              <w:jc w:val="center"/>
              <w:cnfStyle w:val="100000000000" w:firstRow="1" w:lastRow="0" w:firstColumn="0" w:lastColumn="0" w:oddVBand="0" w:evenVBand="0" w:oddHBand="0" w:evenHBand="0" w:firstRowFirstColumn="0" w:firstRowLastColumn="0" w:lastRowFirstColumn="0" w:lastRowLastColumn="0"/>
              <w:rPr>
                <w:rFonts w:ascii="Aptos" w:hAnsi="Aptos"/>
                <w:sz w:val="22"/>
              </w:rPr>
            </w:pPr>
            <w:proofErr w:type="spellStart"/>
            <w:r w:rsidRPr="00AC03F2">
              <w:rPr>
                <w:rFonts w:ascii="Aptos" w:hAnsi="Aptos"/>
                <w:sz w:val="22"/>
              </w:rPr>
              <w:t>Outcome</w:t>
            </w:r>
            <w:proofErr w:type="spellEnd"/>
            <w:r w:rsidRPr="00AC03F2">
              <w:rPr>
                <w:rFonts w:ascii="Aptos" w:hAnsi="Aptos"/>
                <w:sz w:val="22"/>
              </w:rPr>
              <w:t xml:space="preserve"> </w:t>
            </w:r>
            <w:proofErr w:type="spellStart"/>
            <w:r w:rsidRPr="00AC03F2">
              <w:rPr>
                <w:rFonts w:ascii="Aptos" w:hAnsi="Aptos"/>
                <w:sz w:val="22"/>
              </w:rPr>
              <w:t>category</w:t>
            </w:r>
            <w:proofErr w:type="spellEnd"/>
          </w:p>
        </w:tc>
      </w:tr>
      <w:tr w:rsidR="005A7EF6" w:rsidRPr="00CA1696" w14:paraId="5D7C1FAF" w14:textId="77777777" w:rsidTr="004455CC">
        <w:trPr>
          <w:cnfStyle w:val="000000100000" w:firstRow="0" w:lastRow="0" w:firstColumn="0" w:lastColumn="0" w:oddVBand="0" w:evenVBand="0" w:oddHBand="1" w:evenHBand="0" w:firstRowFirstColumn="0" w:firstRowLastColumn="0" w:lastRowFirstColumn="0" w:lastRowLastColumn="0"/>
          <w:trHeight w:hRule="exact" w:val="3182"/>
        </w:trPr>
        <w:tc>
          <w:tcPr>
            <w:cnfStyle w:val="001000000000" w:firstRow="0" w:lastRow="0" w:firstColumn="1" w:lastColumn="0" w:oddVBand="0" w:evenVBand="0" w:oddHBand="0" w:evenHBand="0" w:firstRowFirstColumn="0" w:firstRowLastColumn="0" w:lastRowFirstColumn="0" w:lastRowLastColumn="0"/>
            <w:tcW w:w="1922" w:type="dxa"/>
          </w:tcPr>
          <w:p w14:paraId="0EE8B8FE" w14:textId="77777777" w:rsidR="0031733B" w:rsidRPr="00AC03F2" w:rsidRDefault="0031733B">
            <w:pPr>
              <w:rPr>
                <w:rFonts w:ascii="Aptos" w:hAnsi="Aptos"/>
                <w:b w:val="0"/>
                <w:bCs w:val="0"/>
                <w:sz w:val="22"/>
              </w:rPr>
            </w:pPr>
            <w:r w:rsidRPr="00AC03F2">
              <w:rPr>
                <w:rFonts w:ascii="Aptos" w:hAnsi="Aptos"/>
                <w:b w:val="0"/>
                <w:bCs w:val="0"/>
                <w:sz w:val="22"/>
              </w:rPr>
              <w:t>Costa et al.</w:t>
            </w:r>
          </w:p>
          <w:p w14:paraId="110D9EC0" w14:textId="77777777" w:rsidR="0031733B" w:rsidRPr="00AC03F2" w:rsidRDefault="0031733B">
            <w:pPr>
              <w:rPr>
                <w:rFonts w:ascii="Aptos" w:hAnsi="Aptos"/>
                <w:b w:val="0"/>
                <w:bCs w:val="0"/>
                <w:sz w:val="22"/>
              </w:rPr>
            </w:pPr>
            <w:r w:rsidRPr="00AC03F2">
              <w:rPr>
                <w:rFonts w:ascii="Aptos" w:hAnsi="Aptos"/>
                <w:b w:val="0"/>
                <w:bCs w:val="0"/>
                <w:sz w:val="22"/>
              </w:rPr>
              <w:t>2024</w:t>
            </w:r>
          </w:p>
          <w:p w14:paraId="528FE13F" w14:textId="77777777" w:rsidR="0031733B" w:rsidRPr="00AC03F2" w:rsidRDefault="0031733B">
            <w:pPr>
              <w:rPr>
                <w:rFonts w:ascii="Aptos" w:hAnsi="Aptos"/>
                <w:b w:val="0"/>
                <w:bCs w:val="0"/>
                <w:sz w:val="22"/>
              </w:rPr>
            </w:pPr>
            <w:r w:rsidRPr="00AC03F2">
              <w:rPr>
                <w:rFonts w:ascii="Aptos" w:hAnsi="Aptos"/>
                <w:b w:val="0"/>
                <w:bCs w:val="0"/>
                <w:sz w:val="22"/>
              </w:rPr>
              <w:t>Portugal</w:t>
            </w:r>
          </w:p>
          <w:p w14:paraId="74C1223F" w14:textId="77777777" w:rsidR="0031733B" w:rsidRPr="00AC03F2" w:rsidRDefault="0031733B">
            <w:pPr>
              <w:rPr>
                <w:rFonts w:ascii="Aptos" w:hAnsi="Aptos"/>
                <w:b w:val="0"/>
                <w:bCs w:val="0"/>
                <w:sz w:val="22"/>
              </w:rPr>
            </w:pPr>
            <w:r w:rsidRPr="00AC03F2">
              <w:rPr>
                <w:rFonts w:ascii="Aptos" w:hAnsi="Aptos"/>
                <w:b w:val="0"/>
                <w:bCs w:val="0"/>
                <w:noProof/>
                <w:sz w:val="22"/>
              </w:rPr>
              <w:t>[1]</w:t>
            </w:r>
          </w:p>
          <w:p w14:paraId="304BCE76" w14:textId="77777777" w:rsidR="0031733B" w:rsidRPr="00AC03F2" w:rsidRDefault="0031733B">
            <w:pPr>
              <w:rPr>
                <w:rFonts w:ascii="Aptos" w:hAnsi="Aptos"/>
                <w:b w:val="0"/>
                <w:bCs w:val="0"/>
                <w:sz w:val="22"/>
              </w:rPr>
            </w:pPr>
          </w:p>
        </w:tc>
        <w:tc>
          <w:tcPr>
            <w:tcW w:w="1770" w:type="dxa"/>
          </w:tcPr>
          <w:p w14:paraId="11D09A04" w14:textId="67A06928" w:rsidR="0031733B" w:rsidRPr="00AC03F2" w:rsidRDefault="0031733B" w:rsidP="004455CC">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AC03F2">
              <w:rPr>
                <w:rFonts w:ascii="Aptos" w:hAnsi="Aptos"/>
                <w:color w:val="000000"/>
                <w:sz w:val="22"/>
                <w:lang w:val="en-US"/>
              </w:rPr>
              <w:t>This study aimed to explore older adults’ perceptions of social prescribing in mainland Portugal</w:t>
            </w:r>
            <w:r w:rsidR="004455CC">
              <w:rPr>
                <w:rFonts w:ascii="Aptos" w:hAnsi="Aptos"/>
                <w:color w:val="000000"/>
                <w:sz w:val="22"/>
                <w:lang w:val="en-US"/>
              </w:rPr>
              <w:t>.</w:t>
            </w:r>
            <w:r w:rsidRPr="00AC03F2">
              <w:rPr>
                <w:rFonts w:ascii="Aptos" w:hAnsi="Aptos"/>
                <w:color w:val="000000"/>
                <w:sz w:val="22"/>
                <w:lang w:val="en-US"/>
              </w:rPr>
              <w:t xml:space="preserve"> </w:t>
            </w:r>
          </w:p>
        </w:tc>
        <w:tc>
          <w:tcPr>
            <w:tcW w:w="1577" w:type="dxa"/>
          </w:tcPr>
          <w:p w14:paraId="7FBF982E" w14:textId="77777777" w:rsidR="0031733B" w:rsidRPr="005A7EF6"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sidRPr="005A7EF6">
              <w:rPr>
                <w:rFonts w:ascii="Aptos" w:hAnsi="Aptos"/>
                <w:color w:val="000000"/>
                <w:sz w:val="22"/>
                <w:lang w:val="en-US"/>
              </w:rPr>
              <w:t>Quantitative</w:t>
            </w:r>
            <w:r w:rsidRPr="005A7EF6" w:rsidDel="003361AB">
              <w:rPr>
                <w:rFonts w:ascii="Aptos" w:hAnsi="Aptos"/>
                <w:color w:val="000000"/>
                <w:sz w:val="22"/>
                <w:lang w:val="en-US"/>
              </w:rPr>
              <w:t xml:space="preserve"> </w:t>
            </w:r>
          </w:p>
          <w:p w14:paraId="789EA357" w14:textId="56BD78A1" w:rsidR="007B5534" w:rsidRPr="004B7140" w:rsidRDefault="005617C1">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sidRPr="004B7140">
              <w:rPr>
                <w:rFonts w:ascii="Aptos" w:hAnsi="Aptos"/>
                <w:color w:val="000000"/>
                <w:sz w:val="22"/>
                <w:lang w:val="en-US"/>
              </w:rPr>
              <w:t>Cross-sectional study</w:t>
            </w:r>
            <w:r w:rsidR="00306C49" w:rsidRPr="004B7140">
              <w:rPr>
                <w:rFonts w:ascii="Aptos" w:hAnsi="Aptos"/>
                <w:color w:val="000000"/>
                <w:sz w:val="22"/>
                <w:lang w:val="en-US"/>
              </w:rPr>
              <w:t xml:space="preserve"> </w:t>
            </w:r>
            <w:r w:rsidR="007A25EB" w:rsidRPr="004B7140">
              <w:rPr>
                <w:rFonts w:ascii="Aptos" w:hAnsi="Aptos"/>
                <w:color w:val="000000"/>
                <w:sz w:val="22"/>
                <w:lang w:val="en-US"/>
              </w:rPr>
              <w:t>(no c</w:t>
            </w:r>
            <w:r w:rsidR="007A25EB">
              <w:rPr>
                <w:rFonts w:ascii="Aptos" w:hAnsi="Aptos"/>
                <w:color w:val="000000"/>
                <w:sz w:val="22"/>
                <w:lang w:val="en-US"/>
              </w:rPr>
              <w:t>ontrol group)</w:t>
            </w:r>
          </w:p>
          <w:p w14:paraId="0AB1442D" w14:textId="77777777" w:rsidR="00DD56AA" w:rsidRPr="00AC03F2" w:rsidRDefault="00DD56AA" w:rsidP="00D338F9">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p>
        </w:tc>
        <w:tc>
          <w:tcPr>
            <w:tcW w:w="1423" w:type="dxa"/>
          </w:tcPr>
          <w:p w14:paraId="4D913914"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sidRPr="00AC03F2">
              <w:rPr>
                <w:rFonts w:ascii="Aptos" w:hAnsi="Aptos"/>
                <w:color w:val="000000"/>
                <w:sz w:val="22"/>
                <w:lang w:val="en-US"/>
              </w:rPr>
              <w:t>N=613</w:t>
            </w:r>
          </w:p>
          <w:p w14:paraId="5747A016"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p>
          <w:p w14:paraId="71D55471"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sidRPr="00AC03F2">
              <w:rPr>
                <w:rFonts w:ascii="Aptos" w:hAnsi="Aptos"/>
                <w:color w:val="000000" w:themeColor="text1"/>
                <w:sz w:val="22"/>
                <w:lang w:val="en-US"/>
              </w:rPr>
              <w:t>Older adults aged 65 to 93</w:t>
            </w:r>
          </w:p>
          <w:p w14:paraId="201554D6"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p>
        </w:tc>
        <w:tc>
          <w:tcPr>
            <w:tcW w:w="2370" w:type="dxa"/>
          </w:tcPr>
          <w:p w14:paraId="6D644ADD"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AC03F2">
              <w:rPr>
                <w:rFonts w:ascii="Aptos" w:hAnsi="Aptos"/>
                <w:sz w:val="22"/>
                <w:lang w:val="en-US"/>
              </w:rPr>
              <w:t xml:space="preserve">Outcome </w:t>
            </w:r>
            <w:proofErr w:type="spellStart"/>
            <w:r w:rsidRPr="00AC03F2">
              <w:rPr>
                <w:rFonts w:ascii="Aptos" w:hAnsi="Aptos"/>
                <w:sz w:val="22"/>
                <w:lang w:val="en-US"/>
              </w:rPr>
              <w:t>categoy</w:t>
            </w:r>
            <w:proofErr w:type="spellEnd"/>
            <w:r w:rsidRPr="00AC03F2">
              <w:rPr>
                <w:rFonts w:ascii="Aptos" w:hAnsi="Aptos"/>
                <w:sz w:val="22"/>
                <w:lang w:val="en-US"/>
              </w:rPr>
              <w:t>: 3</w:t>
            </w:r>
          </w:p>
          <w:p w14:paraId="76757B6F"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sidRPr="00AC03F2">
              <w:rPr>
                <w:rFonts w:ascii="Aptos" w:hAnsi="Aptos"/>
                <w:sz w:val="22"/>
                <w:lang w:val="en-US"/>
              </w:rPr>
              <w:t>Preferences on social prescribing</w:t>
            </w:r>
            <w:r w:rsidRPr="00AC03F2">
              <w:rPr>
                <w:rFonts w:ascii="Aptos" w:hAnsi="Aptos"/>
                <w:sz w:val="22"/>
                <w:lang w:val="en-US"/>
              </w:rPr>
              <w:br/>
            </w:r>
            <w:r w:rsidRPr="00AC03F2">
              <w:rPr>
                <w:rFonts w:ascii="Aptos" w:hAnsi="Aptos"/>
                <w:color w:val="000000"/>
                <w:sz w:val="22"/>
                <w:lang w:val="en-US"/>
              </w:rPr>
              <w:br/>
              <w:t>Link between social factors</w:t>
            </w:r>
          </w:p>
          <w:p w14:paraId="140D4E28"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AC03F2">
              <w:rPr>
                <w:rFonts w:ascii="Aptos" w:hAnsi="Aptos"/>
                <w:color w:val="000000"/>
                <w:sz w:val="22"/>
                <w:lang w:val="en-US"/>
              </w:rPr>
              <w:t>quality of life and what "social prescribing is requested" are some of the outcomes.</w:t>
            </w:r>
          </w:p>
        </w:tc>
      </w:tr>
      <w:tr w:rsidR="00CA1696" w:rsidRPr="00AC03F2" w14:paraId="4AF4CAE6" w14:textId="77777777" w:rsidTr="004455CC">
        <w:trPr>
          <w:trHeight w:val="1408"/>
        </w:trPr>
        <w:tc>
          <w:tcPr>
            <w:cnfStyle w:val="001000000000" w:firstRow="0" w:lastRow="0" w:firstColumn="1" w:lastColumn="0" w:oddVBand="0" w:evenVBand="0" w:oddHBand="0" w:evenHBand="0" w:firstRowFirstColumn="0" w:firstRowLastColumn="0" w:lastRowFirstColumn="0" w:lastRowLastColumn="0"/>
            <w:tcW w:w="1922" w:type="dxa"/>
          </w:tcPr>
          <w:p w14:paraId="29888A1B" w14:textId="77777777" w:rsidR="0031733B" w:rsidRPr="00AC03F2" w:rsidRDefault="0031733B">
            <w:pPr>
              <w:rPr>
                <w:rFonts w:ascii="Aptos" w:hAnsi="Aptos"/>
                <w:b w:val="0"/>
                <w:bCs w:val="0"/>
                <w:sz w:val="22"/>
                <w:lang w:val="en-GB"/>
              </w:rPr>
            </w:pPr>
            <w:r w:rsidRPr="00AC03F2">
              <w:rPr>
                <w:rFonts w:ascii="Aptos" w:hAnsi="Aptos"/>
                <w:b w:val="0"/>
                <w:bCs w:val="0"/>
                <w:sz w:val="22"/>
                <w:lang w:val="en-GB"/>
              </w:rPr>
              <w:t>Elston et al.</w:t>
            </w:r>
          </w:p>
          <w:p w14:paraId="76270386" w14:textId="77777777" w:rsidR="0031733B" w:rsidRPr="00AC03F2" w:rsidRDefault="0031733B">
            <w:pPr>
              <w:rPr>
                <w:rFonts w:ascii="Aptos" w:hAnsi="Aptos"/>
                <w:b w:val="0"/>
                <w:bCs w:val="0"/>
                <w:sz w:val="22"/>
                <w:lang w:val="en-GB"/>
              </w:rPr>
            </w:pPr>
            <w:r w:rsidRPr="00AC03F2">
              <w:rPr>
                <w:rFonts w:ascii="Aptos" w:hAnsi="Aptos"/>
                <w:b w:val="0"/>
                <w:bCs w:val="0"/>
                <w:sz w:val="22"/>
                <w:lang w:val="en-GB"/>
              </w:rPr>
              <w:t>2019</w:t>
            </w:r>
          </w:p>
          <w:p w14:paraId="51BF2417" w14:textId="77777777" w:rsidR="0031733B" w:rsidRPr="00AC03F2" w:rsidRDefault="0031733B">
            <w:pPr>
              <w:rPr>
                <w:rFonts w:ascii="Aptos" w:hAnsi="Aptos"/>
                <w:b w:val="0"/>
                <w:bCs w:val="0"/>
                <w:sz w:val="22"/>
                <w:lang w:val="en-GB"/>
              </w:rPr>
            </w:pPr>
            <w:r w:rsidRPr="00AC03F2">
              <w:rPr>
                <w:rFonts w:ascii="Aptos" w:hAnsi="Aptos"/>
                <w:b w:val="0"/>
                <w:bCs w:val="0"/>
                <w:sz w:val="22"/>
                <w:lang w:val="en-GB"/>
              </w:rPr>
              <w:t>UK</w:t>
            </w:r>
          </w:p>
          <w:p w14:paraId="2CD85C4D" w14:textId="41A60B70" w:rsidR="0031733B" w:rsidRPr="00AC03F2" w:rsidRDefault="0031733B">
            <w:pPr>
              <w:rPr>
                <w:rFonts w:ascii="Aptos" w:hAnsi="Aptos"/>
                <w:b w:val="0"/>
                <w:bCs w:val="0"/>
                <w:sz w:val="22"/>
                <w:lang w:val="en-GB"/>
              </w:rPr>
            </w:pPr>
            <w:r w:rsidRPr="00AC03F2">
              <w:rPr>
                <w:rFonts w:ascii="Aptos" w:hAnsi="Aptos"/>
                <w:b w:val="0"/>
                <w:bCs w:val="0"/>
                <w:noProof/>
                <w:sz w:val="22"/>
                <w:lang w:val="en-GB"/>
              </w:rPr>
              <w:t>[</w:t>
            </w:r>
            <w:r w:rsidR="00E85305">
              <w:rPr>
                <w:rFonts w:ascii="Aptos" w:hAnsi="Aptos"/>
                <w:b w:val="0"/>
                <w:bCs w:val="0"/>
                <w:noProof/>
                <w:sz w:val="22"/>
                <w:lang w:val="en-GB"/>
              </w:rPr>
              <w:t>2</w:t>
            </w:r>
            <w:r w:rsidRPr="00AC03F2">
              <w:rPr>
                <w:rFonts w:ascii="Aptos" w:hAnsi="Aptos"/>
                <w:b w:val="0"/>
                <w:bCs w:val="0"/>
                <w:noProof/>
                <w:sz w:val="22"/>
                <w:lang w:val="en-GB"/>
              </w:rPr>
              <w:t>]</w:t>
            </w:r>
          </w:p>
          <w:p w14:paraId="0359B691" w14:textId="77777777" w:rsidR="0031733B" w:rsidRPr="00AC03F2" w:rsidRDefault="0031733B">
            <w:pPr>
              <w:rPr>
                <w:rFonts w:ascii="Aptos" w:hAnsi="Aptos"/>
                <w:b w:val="0"/>
                <w:bCs w:val="0"/>
                <w:sz w:val="22"/>
                <w:lang w:val="en-GB"/>
              </w:rPr>
            </w:pPr>
          </w:p>
          <w:p w14:paraId="23BD7BD2" w14:textId="77777777" w:rsidR="0031733B" w:rsidRPr="005A7EF6" w:rsidRDefault="0031733B">
            <w:pPr>
              <w:rPr>
                <w:rFonts w:ascii="Aptos" w:hAnsi="Aptos"/>
                <w:b w:val="0"/>
                <w:bCs w:val="0"/>
                <w:sz w:val="22"/>
                <w:lang w:val="nl-NL"/>
              </w:rPr>
            </w:pPr>
            <w:r w:rsidRPr="00AC03F2">
              <w:rPr>
                <w:rFonts w:ascii="Aptos" w:hAnsi="Aptos"/>
                <w:b w:val="0"/>
                <w:bCs w:val="0"/>
                <w:sz w:val="22"/>
                <w:lang w:val="en-GB"/>
              </w:rPr>
              <w:t xml:space="preserve">Included in two systematic reviews. </w:t>
            </w:r>
            <w:r w:rsidRPr="004C447F">
              <w:rPr>
                <w:rFonts w:ascii="Aptos" w:hAnsi="Aptos"/>
                <w:b w:val="0"/>
                <w:bCs w:val="0"/>
                <w:sz w:val="22"/>
                <w:lang w:val="nl-NL"/>
              </w:rPr>
              <w:t>Percival et al. and Sadio et al.</w:t>
            </w:r>
          </w:p>
        </w:tc>
        <w:tc>
          <w:tcPr>
            <w:tcW w:w="1770" w:type="dxa"/>
          </w:tcPr>
          <w:p w14:paraId="3743E209"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AC03F2">
              <w:rPr>
                <w:rFonts w:ascii="Aptos" w:hAnsi="Aptos"/>
                <w:color w:val="000000"/>
                <w:sz w:val="22"/>
                <w:lang w:val="en-US"/>
              </w:rPr>
              <w:t>To evaluate the impact of ‘holistic’ link-workers on service users’ well-being, activation and frailty, and their use of health and social care services and the associated costs.</w:t>
            </w:r>
          </w:p>
        </w:tc>
        <w:tc>
          <w:tcPr>
            <w:tcW w:w="1577" w:type="dxa"/>
          </w:tcPr>
          <w:p w14:paraId="08D9C727" w14:textId="77777777" w:rsidR="0031733B" w:rsidRPr="005A7EF6" w:rsidRDefault="0031733B">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r w:rsidRPr="005A7EF6">
              <w:rPr>
                <w:rFonts w:ascii="Aptos" w:hAnsi="Aptos"/>
                <w:color w:val="000000"/>
                <w:sz w:val="22"/>
                <w:lang w:val="en-US"/>
              </w:rPr>
              <w:t>Quantitative</w:t>
            </w:r>
            <w:r w:rsidRPr="005A7EF6" w:rsidDel="003361AB">
              <w:rPr>
                <w:rFonts w:ascii="Aptos" w:hAnsi="Aptos"/>
                <w:color w:val="000000"/>
                <w:sz w:val="22"/>
                <w:lang w:val="en-US"/>
              </w:rPr>
              <w:t xml:space="preserve"> </w:t>
            </w:r>
          </w:p>
          <w:p w14:paraId="74FF05E2" w14:textId="3D5FC662" w:rsidR="00856BD5" w:rsidRDefault="00856BD5">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r>
              <w:rPr>
                <w:rFonts w:ascii="Aptos" w:hAnsi="Aptos"/>
                <w:color w:val="000000"/>
                <w:sz w:val="22"/>
                <w:lang w:val="en-US"/>
              </w:rPr>
              <w:t>Uncontrolled cohort study</w:t>
            </w:r>
          </w:p>
          <w:p w14:paraId="6915C285" w14:textId="5E581A8A" w:rsidR="00CA77AD" w:rsidRDefault="006634E5">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r>
              <w:rPr>
                <w:rFonts w:ascii="Aptos" w:hAnsi="Aptos"/>
                <w:color w:val="000000"/>
                <w:sz w:val="22"/>
                <w:lang w:val="en-US"/>
              </w:rPr>
              <w:t>B</w:t>
            </w:r>
            <w:r w:rsidRPr="006634E5">
              <w:rPr>
                <w:rFonts w:ascii="Aptos" w:hAnsi="Aptos"/>
                <w:color w:val="000000"/>
                <w:sz w:val="22"/>
                <w:lang w:val="en-US"/>
              </w:rPr>
              <w:t>efore-and-after study</w:t>
            </w:r>
          </w:p>
          <w:p w14:paraId="42433655" w14:textId="408155C6" w:rsidR="00856BD5" w:rsidRPr="00AC03F2" w:rsidRDefault="00856BD5">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p>
        </w:tc>
        <w:tc>
          <w:tcPr>
            <w:tcW w:w="1423" w:type="dxa"/>
          </w:tcPr>
          <w:p w14:paraId="27882429"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r w:rsidRPr="00AC03F2">
              <w:rPr>
                <w:rFonts w:ascii="Aptos" w:hAnsi="Aptos"/>
                <w:color w:val="000000"/>
                <w:sz w:val="22"/>
                <w:lang w:val="en-US"/>
              </w:rPr>
              <w:t>N=</w:t>
            </w:r>
            <w:r w:rsidRPr="00AC03F2">
              <w:rPr>
                <w:rFonts w:ascii="Aptos" w:hAnsi="Aptos"/>
                <w:sz w:val="22"/>
                <w:lang w:val="en-US"/>
              </w:rPr>
              <w:t xml:space="preserve"> </w:t>
            </w:r>
            <w:r w:rsidRPr="00AC03F2">
              <w:rPr>
                <w:rFonts w:ascii="Aptos" w:hAnsi="Aptos"/>
                <w:color w:val="000000"/>
                <w:sz w:val="22"/>
                <w:lang w:val="en-US"/>
              </w:rPr>
              <w:t>1046</w:t>
            </w:r>
          </w:p>
          <w:p w14:paraId="2CE00519" w14:textId="532C58BB"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r w:rsidRPr="00AC03F2">
              <w:rPr>
                <w:rFonts w:ascii="Aptos" w:hAnsi="Aptos"/>
                <w:color w:val="000000"/>
                <w:sz w:val="22"/>
                <w:lang w:val="en-US"/>
              </w:rPr>
              <w:t>Participants were individuals</w:t>
            </w:r>
            <w:r w:rsidRPr="00AC03F2">
              <w:rPr>
                <w:rFonts w:ascii="Aptos" w:hAnsi="Aptos"/>
                <w:color w:val="000000"/>
                <w:sz w:val="22"/>
                <w:lang w:val="en-US"/>
              </w:rPr>
              <w:br/>
              <w:t xml:space="preserve">aged 50 years or over </w:t>
            </w:r>
            <w:r w:rsidRPr="00AC03F2">
              <w:rPr>
                <w:rFonts w:ascii="Aptos" w:hAnsi="Aptos"/>
                <w:color w:val="000000"/>
                <w:sz w:val="22"/>
                <w:lang w:val="en-US"/>
              </w:rPr>
              <w:br/>
              <w:t>94% of participants were 60+</w:t>
            </w:r>
          </w:p>
          <w:p w14:paraId="29305F82"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p>
        </w:tc>
        <w:tc>
          <w:tcPr>
            <w:tcW w:w="2370" w:type="dxa"/>
          </w:tcPr>
          <w:p w14:paraId="3FCCC662"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AC03F2">
              <w:rPr>
                <w:rFonts w:ascii="Aptos" w:hAnsi="Aptos"/>
                <w:sz w:val="22"/>
                <w:lang w:val="en-US"/>
              </w:rPr>
              <w:t>Outcome category: 1</w:t>
            </w:r>
          </w:p>
          <w:p w14:paraId="2DE3745F"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b/>
                <w:bCs/>
                <w:color w:val="A02B93"/>
                <w:sz w:val="22"/>
                <w:lang w:val="en-US"/>
              </w:rPr>
            </w:pPr>
          </w:p>
          <w:p w14:paraId="09F42107"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AC03F2">
              <w:rPr>
                <w:rFonts w:ascii="Aptos" w:hAnsi="Aptos"/>
                <w:sz w:val="22"/>
                <w:lang w:val="en-US"/>
              </w:rPr>
              <w:t>Health and social well</w:t>
            </w:r>
          </w:p>
          <w:p w14:paraId="75A3CC14"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AC03F2">
              <w:rPr>
                <w:rFonts w:ascii="Aptos" w:hAnsi="Aptos"/>
                <w:sz w:val="22"/>
                <w:lang w:val="en-US"/>
              </w:rPr>
              <w:t>being with SP</w:t>
            </w:r>
          </w:p>
          <w:p w14:paraId="27D9007F"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p>
        </w:tc>
      </w:tr>
      <w:tr w:rsidR="005A7EF6" w:rsidRPr="00CA1696" w14:paraId="0FEA1DEC" w14:textId="77777777" w:rsidTr="005A7EF6">
        <w:trPr>
          <w:cnfStyle w:val="000000100000" w:firstRow="0" w:lastRow="0" w:firstColumn="0" w:lastColumn="0" w:oddVBand="0" w:evenVBand="0" w:oddHBand="1" w:evenHBand="0" w:firstRowFirstColumn="0" w:firstRowLastColumn="0" w:lastRowFirstColumn="0" w:lastRowLastColumn="0"/>
          <w:trHeight w:hRule="exact" w:val="3980"/>
        </w:trPr>
        <w:tc>
          <w:tcPr>
            <w:cnfStyle w:val="001000000000" w:firstRow="0" w:lastRow="0" w:firstColumn="1" w:lastColumn="0" w:oddVBand="0" w:evenVBand="0" w:oddHBand="0" w:evenHBand="0" w:firstRowFirstColumn="0" w:firstRowLastColumn="0" w:lastRowFirstColumn="0" w:lastRowLastColumn="0"/>
            <w:tcW w:w="1922" w:type="dxa"/>
          </w:tcPr>
          <w:p w14:paraId="2C18AD53" w14:textId="77777777" w:rsidR="0031733B" w:rsidRPr="00AC03F2" w:rsidRDefault="0031733B">
            <w:pPr>
              <w:rPr>
                <w:rFonts w:ascii="Aptos" w:hAnsi="Aptos"/>
                <w:b w:val="0"/>
                <w:bCs w:val="0"/>
                <w:sz w:val="22"/>
              </w:rPr>
            </w:pPr>
            <w:proofErr w:type="spellStart"/>
            <w:r w:rsidRPr="00AC03F2">
              <w:rPr>
                <w:rFonts w:ascii="Aptos" w:hAnsi="Aptos"/>
                <w:b w:val="0"/>
                <w:bCs w:val="0"/>
                <w:sz w:val="22"/>
              </w:rPr>
              <w:lastRenderedPageBreak/>
              <w:t>Gorenberg</w:t>
            </w:r>
            <w:proofErr w:type="spellEnd"/>
            <w:r w:rsidRPr="00AC03F2">
              <w:rPr>
                <w:rFonts w:ascii="Aptos" w:hAnsi="Aptos"/>
                <w:b w:val="0"/>
                <w:bCs w:val="0"/>
                <w:sz w:val="22"/>
              </w:rPr>
              <w:t xml:space="preserve"> et al.</w:t>
            </w:r>
          </w:p>
          <w:p w14:paraId="49BE25D7" w14:textId="77777777" w:rsidR="0031733B" w:rsidRPr="00AC03F2" w:rsidRDefault="0031733B">
            <w:pPr>
              <w:rPr>
                <w:rFonts w:ascii="Aptos" w:hAnsi="Aptos"/>
                <w:b w:val="0"/>
                <w:bCs w:val="0"/>
                <w:sz w:val="22"/>
              </w:rPr>
            </w:pPr>
            <w:r w:rsidRPr="00AC03F2">
              <w:rPr>
                <w:rFonts w:ascii="Aptos" w:hAnsi="Aptos"/>
                <w:b w:val="0"/>
                <w:bCs w:val="0"/>
                <w:sz w:val="22"/>
              </w:rPr>
              <w:t>2023</w:t>
            </w:r>
          </w:p>
          <w:p w14:paraId="1EBE7709" w14:textId="77777777" w:rsidR="0031733B" w:rsidRPr="00AC03F2" w:rsidRDefault="0031733B">
            <w:pPr>
              <w:rPr>
                <w:rFonts w:ascii="Aptos" w:hAnsi="Aptos"/>
                <w:b w:val="0"/>
                <w:bCs w:val="0"/>
                <w:sz w:val="22"/>
              </w:rPr>
            </w:pPr>
            <w:r w:rsidRPr="00AC03F2">
              <w:rPr>
                <w:rFonts w:ascii="Aptos" w:hAnsi="Aptos"/>
                <w:b w:val="0"/>
                <w:bCs w:val="0"/>
                <w:sz w:val="22"/>
              </w:rPr>
              <w:t>UK</w:t>
            </w:r>
          </w:p>
          <w:p w14:paraId="0BE94427" w14:textId="2F3E02EF" w:rsidR="0031733B" w:rsidRPr="00AC03F2" w:rsidRDefault="0031733B">
            <w:pPr>
              <w:rPr>
                <w:rFonts w:ascii="Aptos" w:hAnsi="Aptos"/>
                <w:sz w:val="22"/>
              </w:rPr>
            </w:pPr>
            <w:r w:rsidRPr="00AC03F2">
              <w:rPr>
                <w:rFonts w:ascii="Aptos" w:hAnsi="Aptos"/>
                <w:b w:val="0"/>
                <w:bCs w:val="0"/>
                <w:noProof/>
                <w:sz w:val="22"/>
              </w:rPr>
              <w:t>[</w:t>
            </w:r>
            <w:r w:rsidR="00E85305">
              <w:rPr>
                <w:rFonts w:ascii="Aptos" w:hAnsi="Aptos"/>
                <w:b w:val="0"/>
                <w:bCs w:val="0"/>
                <w:noProof/>
                <w:sz w:val="22"/>
              </w:rPr>
              <w:t>3</w:t>
            </w:r>
            <w:r w:rsidRPr="00AC03F2">
              <w:rPr>
                <w:rFonts w:ascii="Aptos" w:hAnsi="Aptos"/>
                <w:b w:val="0"/>
                <w:bCs w:val="0"/>
                <w:noProof/>
                <w:sz w:val="22"/>
              </w:rPr>
              <w:t>]</w:t>
            </w:r>
          </w:p>
        </w:tc>
        <w:tc>
          <w:tcPr>
            <w:tcW w:w="1770" w:type="dxa"/>
          </w:tcPr>
          <w:p w14:paraId="0EE84245" w14:textId="3B99C6D0"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sidRPr="00AC03F2">
              <w:rPr>
                <w:rFonts w:ascii="Aptos" w:hAnsi="Aptos"/>
                <w:color w:val="000000"/>
                <w:sz w:val="22"/>
                <w:lang w:val="en-US"/>
              </w:rPr>
              <w:t xml:space="preserve">To understand how the cultural sector supports older people’s well-being as part of social prescribing, particularly in light of challenges encountered due to COVID-19. </w:t>
            </w:r>
          </w:p>
        </w:tc>
        <w:tc>
          <w:tcPr>
            <w:tcW w:w="1577" w:type="dxa"/>
          </w:tcPr>
          <w:p w14:paraId="7F430A15"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GB"/>
              </w:rPr>
            </w:pPr>
            <w:proofErr w:type="spellStart"/>
            <w:r w:rsidRPr="00AC03F2">
              <w:rPr>
                <w:rFonts w:ascii="Aptos" w:hAnsi="Aptos"/>
                <w:color w:val="000000"/>
                <w:sz w:val="22"/>
              </w:rPr>
              <w:t>Qualitative</w:t>
            </w:r>
            <w:proofErr w:type="spellEnd"/>
          </w:p>
        </w:tc>
        <w:tc>
          <w:tcPr>
            <w:tcW w:w="1423" w:type="dxa"/>
          </w:tcPr>
          <w:p w14:paraId="49E6D099"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rPr>
            </w:pPr>
            <w:r w:rsidRPr="00AC03F2">
              <w:rPr>
                <w:rFonts w:ascii="Aptos" w:hAnsi="Aptos"/>
                <w:color w:val="000000"/>
                <w:sz w:val="22"/>
              </w:rPr>
              <w:t>N=28</w:t>
            </w:r>
          </w:p>
          <w:p w14:paraId="36DD58EC" w14:textId="2EF4CEAA"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rPr>
            </w:pPr>
            <w:r w:rsidRPr="00AC03F2">
              <w:rPr>
                <w:rFonts w:ascii="Aptos" w:hAnsi="Aptos"/>
                <w:color w:val="000000"/>
                <w:sz w:val="22"/>
              </w:rPr>
              <w:t xml:space="preserve">60 </w:t>
            </w:r>
            <w:proofErr w:type="spellStart"/>
            <w:r w:rsidRPr="00AC03F2">
              <w:rPr>
                <w:rFonts w:ascii="Aptos" w:hAnsi="Aptos"/>
                <w:color w:val="000000"/>
                <w:sz w:val="22"/>
              </w:rPr>
              <w:t>years</w:t>
            </w:r>
            <w:proofErr w:type="spellEnd"/>
            <w:r w:rsidRPr="00AC03F2">
              <w:rPr>
                <w:rFonts w:ascii="Aptos" w:hAnsi="Aptos"/>
                <w:color w:val="000000"/>
                <w:sz w:val="22"/>
              </w:rPr>
              <w:t xml:space="preserve"> and </w:t>
            </w:r>
            <w:proofErr w:type="spellStart"/>
            <w:r w:rsidRPr="00AC03F2">
              <w:rPr>
                <w:rFonts w:ascii="Aptos" w:hAnsi="Aptos"/>
                <w:color w:val="000000"/>
                <w:sz w:val="22"/>
              </w:rPr>
              <w:t>older</w:t>
            </w:r>
            <w:proofErr w:type="spellEnd"/>
          </w:p>
          <w:p w14:paraId="64A91951"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p>
        </w:tc>
        <w:tc>
          <w:tcPr>
            <w:tcW w:w="2370" w:type="dxa"/>
          </w:tcPr>
          <w:p w14:paraId="463D327C"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AC03F2">
              <w:rPr>
                <w:rFonts w:ascii="Aptos" w:hAnsi="Aptos"/>
                <w:sz w:val="22"/>
                <w:lang w:val="en-US"/>
              </w:rPr>
              <w:t>Outcome category: 2, 3</w:t>
            </w:r>
          </w:p>
          <w:p w14:paraId="4145F540"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AC03F2">
              <w:rPr>
                <w:rFonts w:ascii="Aptos" w:hAnsi="Aptos"/>
                <w:sz w:val="22"/>
                <w:lang w:val="en-US"/>
              </w:rPr>
              <w:t>Experiences from SP</w:t>
            </w:r>
          </w:p>
          <w:p w14:paraId="33DE6E1E"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AC03F2">
              <w:rPr>
                <w:rFonts w:ascii="Aptos" w:hAnsi="Aptos"/>
                <w:b/>
                <w:bCs/>
                <w:sz w:val="22"/>
                <w:lang w:val="en-US"/>
              </w:rPr>
              <w:t>-</w:t>
            </w:r>
            <w:r w:rsidRPr="00AC03F2">
              <w:rPr>
                <w:rFonts w:ascii="Aptos" w:hAnsi="Aptos"/>
                <w:sz w:val="22"/>
                <w:lang w:val="en-US"/>
              </w:rPr>
              <w:t>cultural context</w:t>
            </w:r>
          </w:p>
          <w:p w14:paraId="074C2FBB"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AC03F2">
              <w:rPr>
                <w:rFonts w:ascii="Aptos" w:hAnsi="Aptos"/>
                <w:sz w:val="22"/>
                <w:lang w:val="en-US"/>
              </w:rPr>
              <w:t>The cultural sector has a role to play in social prescribing for older people, but tailoring is important so that offers are acceptable and accessible.</w:t>
            </w:r>
          </w:p>
          <w:p w14:paraId="10CFD34E"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p>
        </w:tc>
      </w:tr>
      <w:tr w:rsidR="005A7EF6" w:rsidRPr="00CA1696" w14:paraId="65146FB7" w14:textId="77777777" w:rsidTr="005A7EF6">
        <w:trPr>
          <w:trHeight w:val="5244"/>
        </w:trPr>
        <w:tc>
          <w:tcPr>
            <w:cnfStyle w:val="001000000000" w:firstRow="0" w:lastRow="0" w:firstColumn="1" w:lastColumn="0" w:oddVBand="0" w:evenVBand="0" w:oddHBand="0" w:evenHBand="0" w:firstRowFirstColumn="0" w:firstRowLastColumn="0" w:lastRowFirstColumn="0" w:lastRowLastColumn="0"/>
            <w:tcW w:w="1922" w:type="dxa"/>
          </w:tcPr>
          <w:p w14:paraId="2D15E465" w14:textId="77777777" w:rsidR="0031733B" w:rsidRPr="00AC03F2" w:rsidRDefault="0031733B">
            <w:pPr>
              <w:rPr>
                <w:rFonts w:ascii="Aptos" w:hAnsi="Aptos"/>
                <w:b w:val="0"/>
                <w:bCs w:val="0"/>
                <w:sz w:val="22"/>
                <w:lang w:val="en-GB"/>
              </w:rPr>
            </w:pPr>
            <w:r w:rsidRPr="00AC03F2">
              <w:rPr>
                <w:rFonts w:ascii="Aptos" w:hAnsi="Aptos"/>
                <w:b w:val="0"/>
                <w:bCs w:val="0"/>
                <w:sz w:val="22"/>
                <w:lang w:val="en-GB"/>
              </w:rPr>
              <w:t>Jones et al.</w:t>
            </w:r>
          </w:p>
          <w:p w14:paraId="3BE7C66A" w14:textId="77777777" w:rsidR="0031733B" w:rsidRPr="00AC03F2" w:rsidRDefault="0031733B">
            <w:pPr>
              <w:rPr>
                <w:rFonts w:ascii="Aptos" w:hAnsi="Aptos"/>
                <w:b w:val="0"/>
                <w:bCs w:val="0"/>
                <w:sz w:val="22"/>
                <w:lang w:val="en-GB"/>
              </w:rPr>
            </w:pPr>
            <w:r w:rsidRPr="00AC03F2">
              <w:rPr>
                <w:rFonts w:ascii="Aptos" w:hAnsi="Aptos"/>
                <w:b w:val="0"/>
                <w:bCs w:val="0"/>
                <w:sz w:val="22"/>
                <w:lang w:val="en-GB"/>
              </w:rPr>
              <w:t>2020</w:t>
            </w:r>
          </w:p>
          <w:p w14:paraId="45B3B489" w14:textId="77777777" w:rsidR="0031733B" w:rsidRPr="00AC03F2" w:rsidRDefault="0031733B">
            <w:pPr>
              <w:rPr>
                <w:rFonts w:ascii="Aptos" w:hAnsi="Aptos"/>
                <w:b w:val="0"/>
                <w:bCs w:val="0"/>
                <w:sz w:val="22"/>
                <w:lang w:val="en-GB"/>
              </w:rPr>
            </w:pPr>
            <w:r w:rsidRPr="00AC03F2">
              <w:rPr>
                <w:rFonts w:ascii="Aptos" w:hAnsi="Aptos"/>
                <w:b w:val="0"/>
                <w:bCs w:val="0"/>
                <w:sz w:val="22"/>
                <w:lang w:val="en-GB"/>
              </w:rPr>
              <w:t>UK</w:t>
            </w:r>
          </w:p>
          <w:p w14:paraId="1A21D86B" w14:textId="11DAC3B3" w:rsidR="0031733B" w:rsidRPr="00AC03F2" w:rsidRDefault="0031733B">
            <w:pPr>
              <w:rPr>
                <w:rFonts w:ascii="Aptos" w:hAnsi="Aptos"/>
                <w:b w:val="0"/>
                <w:bCs w:val="0"/>
                <w:sz w:val="22"/>
                <w:lang w:val="en-GB"/>
              </w:rPr>
            </w:pPr>
            <w:r w:rsidRPr="00AC03F2">
              <w:rPr>
                <w:rFonts w:ascii="Aptos" w:hAnsi="Aptos"/>
                <w:b w:val="0"/>
                <w:bCs w:val="0"/>
                <w:noProof/>
                <w:sz w:val="22"/>
                <w:lang w:val="en-GB"/>
              </w:rPr>
              <w:t>[</w:t>
            </w:r>
            <w:r w:rsidR="00E85305">
              <w:rPr>
                <w:rFonts w:ascii="Aptos" w:hAnsi="Aptos"/>
                <w:b w:val="0"/>
                <w:bCs w:val="0"/>
                <w:noProof/>
                <w:sz w:val="22"/>
                <w:lang w:val="en-GB"/>
              </w:rPr>
              <w:t>4</w:t>
            </w:r>
            <w:r w:rsidRPr="00AC03F2">
              <w:rPr>
                <w:rFonts w:ascii="Aptos" w:hAnsi="Aptos"/>
                <w:b w:val="0"/>
                <w:bCs w:val="0"/>
                <w:noProof/>
                <w:sz w:val="22"/>
                <w:lang w:val="en-GB"/>
              </w:rPr>
              <w:t>]</w:t>
            </w:r>
          </w:p>
          <w:p w14:paraId="1F7842E3" w14:textId="77777777" w:rsidR="0031733B" w:rsidRPr="00AC03F2" w:rsidRDefault="0031733B">
            <w:pPr>
              <w:rPr>
                <w:rFonts w:ascii="Aptos" w:hAnsi="Aptos"/>
                <w:b w:val="0"/>
                <w:bCs w:val="0"/>
                <w:sz w:val="22"/>
                <w:lang w:val="en-GB"/>
              </w:rPr>
            </w:pPr>
          </w:p>
          <w:p w14:paraId="63AAB2EA" w14:textId="77777777" w:rsidR="0031733B" w:rsidRPr="00AC03F2" w:rsidRDefault="0031733B">
            <w:pPr>
              <w:rPr>
                <w:rFonts w:ascii="Aptos" w:hAnsi="Aptos"/>
                <w:b w:val="0"/>
                <w:bCs w:val="0"/>
                <w:sz w:val="22"/>
                <w:lang w:val="en-GB"/>
              </w:rPr>
            </w:pPr>
            <w:r w:rsidRPr="00AC03F2">
              <w:rPr>
                <w:rFonts w:ascii="Aptos" w:hAnsi="Aptos"/>
                <w:b w:val="0"/>
                <w:bCs w:val="0"/>
                <w:sz w:val="22"/>
                <w:lang w:val="en-GB"/>
              </w:rPr>
              <w:t>Included in systematic review by Percival et al. 2022</w:t>
            </w:r>
          </w:p>
        </w:tc>
        <w:tc>
          <w:tcPr>
            <w:tcW w:w="1770" w:type="dxa"/>
          </w:tcPr>
          <w:p w14:paraId="2D9B90AD" w14:textId="737B1427" w:rsidR="0031733B" w:rsidRPr="00AC03F2" w:rsidRDefault="0031733B" w:rsidP="00AC03F2">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AC03F2">
              <w:rPr>
                <w:rFonts w:ascii="Aptos" w:hAnsi="Aptos"/>
                <w:color w:val="000000"/>
                <w:sz w:val="22"/>
                <w:lang w:val="en-US"/>
              </w:rPr>
              <w:t>This study used Social Return on Investment (SROI) analysis to evaluate the social value generated by the Health Precinct, a community hub which encourages participants to manage chronic conditions through social prescribing to physical activity and social participation programs.</w:t>
            </w:r>
          </w:p>
        </w:tc>
        <w:tc>
          <w:tcPr>
            <w:tcW w:w="1577" w:type="dxa"/>
          </w:tcPr>
          <w:p w14:paraId="5B7EEF23" w14:textId="77777777" w:rsidR="0031733B" w:rsidRDefault="0031733B">
            <w:pPr>
              <w:cnfStyle w:val="000000000000" w:firstRow="0" w:lastRow="0" w:firstColumn="0" w:lastColumn="0" w:oddVBand="0" w:evenVBand="0" w:oddHBand="0" w:evenHBand="0" w:firstRowFirstColumn="0" w:firstRowLastColumn="0" w:lastRowFirstColumn="0" w:lastRowLastColumn="0"/>
              <w:rPr>
                <w:rFonts w:ascii="Aptos" w:hAnsi="Aptos"/>
                <w:color w:val="000000"/>
                <w:sz w:val="22"/>
              </w:rPr>
            </w:pPr>
            <w:proofErr w:type="spellStart"/>
            <w:r w:rsidRPr="00AC03F2">
              <w:rPr>
                <w:rFonts w:ascii="Aptos" w:hAnsi="Aptos"/>
                <w:color w:val="000000"/>
                <w:sz w:val="22"/>
              </w:rPr>
              <w:t>Quantitative</w:t>
            </w:r>
            <w:proofErr w:type="spellEnd"/>
          </w:p>
          <w:p w14:paraId="440A0FF1" w14:textId="165CAAA9" w:rsidR="009E46E1" w:rsidRPr="00AC03F2" w:rsidRDefault="002E7577">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r>
              <w:rPr>
                <w:rFonts w:ascii="Aptos" w:hAnsi="Aptos"/>
                <w:color w:val="000000"/>
                <w:sz w:val="22"/>
                <w:lang w:val="en-US"/>
              </w:rPr>
              <w:t>Uncontrolled cohort</w:t>
            </w:r>
            <w:r w:rsidR="00861987">
              <w:rPr>
                <w:rFonts w:ascii="Aptos" w:hAnsi="Aptos"/>
                <w:color w:val="000000"/>
                <w:sz w:val="22"/>
                <w:lang w:val="en-US"/>
              </w:rPr>
              <w:t xml:space="preserve"> study</w:t>
            </w:r>
          </w:p>
        </w:tc>
        <w:tc>
          <w:tcPr>
            <w:tcW w:w="1423" w:type="dxa"/>
          </w:tcPr>
          <w:p w14:paraId="51127B3F"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r w:rsidRPr="00AC03F2">
              <w:rPr>
                <w:rFonts w:ascii="Aptos" w:hAnsi="Aptos"/>
                <w:color w:val="000000"/>
                <w:sz w:val="22"/>
                <w:lang w:val="en-US"/>
              </w:rPr>
              <w:t>N=159</w:t>
            </w:r>
          </w:p>
          <w:p w14:paraId="4D0F12E7"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r w:rsidRPr="00AC03F2">
              <w:rPr>
                <w:rFonts w:ascii="Aptos" w:hAnsi="Aptos"/>
                <w:color w:val="000000"/>
                <w:sz w:val="22"/>
                <w:lang w:val="en-US"/>
              </w:rPr>
              <w:t>Mean age 72.4 (SD 8.3)</w:t>
            </w:r>
            <w:r w:rsidRPr="00AC03F2">
              <w:rPr>
                <w:rFonts w:ascii="Aptos" w:hAnsi="Aptos"/>
                <w:color w:val="000000"/>
                <w:sz w:val="22"/>
                <w:lang w:val="en-US"/>
              </w:rPr>
              <w:br/>
              <w:t>Min–max (55–94)</w:t>
            </w:r>
          </w:p>
          <w:p w14:paraId="5654FACA"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p>
        </w:tc>
        <w:tc>
          <w:tcPr>
            <w:tcW w:w="2370" w:type="dxa"/>
          </w:tcPr>
          <w:p w14:paraId="1525ED2E"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AC03F2">
              <w:rPr>
                <w:rFonts w:ascii="Aptos" w:hAnsi="Aptos"/>
                <w:sz w:val="22"/>
                <w:lang w:val="en-US"/>
              </w:rPr>
              <w:t>Outcome category: 4</w:t>
            </w:r>
          </w:p>
          <w:p w14:paraId="6B08B05C"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b/>
                <w:bCs/>
                <w:color w:val="A02B93"/>
                <w:sz w:val="22"/>
                <w:lang w:val="en-US"/>
              </w:rPr>
            </w:pPr>
          </w:p>
          <w:p w14:paraId="4762B188"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AC03F2">
              <w:rPr>
                <w:rFonts w:ascii="Aptos" w:hAnsi="Aptos"/>
                <w:sz w:val="22"/>
                <w:lang w:val="en-US"/>
              </w:rPr>
              <w:t>Cost-benefit analysis of SP</w:t>
            </w:r>
          </w:p>
          <w:p w14:paraId="30418ED7"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p>
          <w:p w14:paraId="5E119F2D"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AC03F2">
              <w:rPr>
                <w:rFonts w:ascii="Aptos" w:hAnsi="Aptos"/>
                <w:sz w:val="22"/>
                <w:lang w:val="en-US"/>
              </w:rPr>
              <w:t>Referral pathways, staff costs, outcomes related to social value.</w:t>
            </w:r>
          </w:p>
        </w:tc>
      </w:tr>
      <w:tr w:rsidR="005A7EF6" w:rsidRPr="00CA1696" w14:paraId="2869BF62" w14:textId="77777777" w:rsidTr="005A7EF6">
        <w:trPr>
          <w:cnfStyle w:val="000000100000" w:firstRow="0" w:lastRow="0" w:firstColumn="0" w:lastColumn="0" w:oddVBand="0" w:evenVBand="0" w:oddHBand="1" w:evenHBand="0" w:firstRowFirstColumn="0" w:firstRowLastColumn="0" w:lastRowFirstColumn="0" w:lastRowLastColumn="0"/>
          <w:trHeight w:val="7645"/>
        </w:trPr>
        <w:tc>
          <w:tcPr>
            <w:cnfStyle w:val="001000000000" w:firstRow="0" w:lastRow="0" w:firstColumn="1" w:lastColumn="0" w:oddVBand="0" w:evenVBand="0" w:oddHBand="0" w:evenHBand="0" w:firstRowFirstColumn="0" w:firstRowLastColumn="0" w:lastRowFirstColumn="0" w:lastRowLastColumn="0"/>
            <w:tcW w:w="1922" w:type="dxa"/>
          </w:tcPr>
          <w:p w14:paraId="5C0EAEAC" w14:textId="77777777" w:rsidR="0031733B" w:rsidRPr="00AC03F2" w:rsidRDefault="0031733B">
            <w:pPr>
              <w:rPr>
                <w:rFonts w:ascii="Aptos" w:hAnsi="Aptos"/>
                <w:b w:val="0"/>
                <w:bCs w:val="0"/>
                <w:sz w:val="22"/>
              </w:rPr>
            </w:pPr>
            <w:proofErr w:type="spellStart"/>
            <w:r w:rsidRPr="00AC03F2">
              <w:rPr>
                <w:rFonts w:ascii="Aptos" w:hAnsi="Aptos"/>
                <w:b w:val="0"/>
                <w:bCs w:val="0"/>
                <w:sz w:val="22"/>
              </w:rPr>
              <w:lastRenderedPageBreak/>
              <w:t>Kellezi</w:t>
            </w:r>
            <w:proofErr w:type="spellEnd"/>
            <w:r w:rsidRPr="00AC03F2">
              <w:rPr>
                <w:rFonts w:ascii="Aptos" w:hAnsi="Aptos"/>
                <w:b w:val="0"/>
                <w:bCs w:val="0"/>
                <w:sz w:val="22"/>
              </w:rPr>
              <w:t xml:space="preserve"> et al.</w:t>
            </w:r>
          </w:p>
          <w:p w14:paraId="3A4FEB9B" w14:textId="77777777" w:rsidR="0031733B" w:rsidRPr="00AC03F2" w:rsidRDefault="0031733B">
            <w:pPr>
              <w:rPr>
                <w:rFonts w:ascii="Aptos" w:hAnsi="Aptos"/>
                <w:b w:val="0"/>
                <w:bCs w:val="0"/>
                <w:sz w:val="22"/>
              </w:rPr>
            </w:pPr>
            <w:r w:rsidRPr="00AC03F2">
              <w:rPr>
                <w:rFonts w:ascii="Aptos" w:hAnsi="Aptos"/>
                <w:b w:val="0"/>
                <w:bCs w:val="0"/>
                <w:sz w:val="22"/>
              </w:rPr>
              <w:t>2019</w:t>
            </w:r>
          </w:p>
          <w:p w14:paraId="270E5B19" w14:textId="77777777" w:rsidR="0031733B" w:rsidRPr="00AC03F2" w:rsidRDefault="0031733B">
            <w:pPr>
              <w:rPr>
                <w:rFonts w:ascii="Aptos" w:hAnsi="Aptos"/>
                <w:b w:val="0"/>
                <w:bCs w:val="0"/>
                <w:sz w:val="22"/>
              </w:rPr>
            </w:pPr>
            <w:r w:rsidRPr="00AC03F2">
              <w:rPr>
                <w:rFonts w:ascii="Aptos" w:hAnsi="Aptos"/>
                <w:b w:val="0"/>
                <w:bCs w:val="0"/>
                <w:sz w:val="22"/>
              </w:rPr>
              <w:t>UK</w:t>
            </w:r>
          </w:p>
          <w:p w14:paraId="6CC993FD" w14:textId="5D2D8C19" w:rsidR="0031733B" w:rsidRPr="00AC03F2" w:rsidRDefault="0031733B">
            <w:pPr>
              <w:rPr>
                <w:rFonts w:ascii="Aptos" w:hAnsi="Aptos"/>
                <w:b w:val="0"/>
                <w:bCs w:val="0"/>
                <w:sz w:val="22"/>
              </w:rPr>
            </w:pPr>
            <w:r w:rsidRPr="00AC03F2">
              <w:rPr>
                <w:rFonts w:ascii="Aptos" w:hAnsi="Aptos"/>
                <w:b w:val="0"/>
                <w:bCs w:val="0"/>
                <w:noProof/>
                <w:sz w:val="22"/>
              </w:rPr>
              <w:t>[</w:t>
            </w:r>
            <w:r w:rsidR="00E85305">
              <w:rPr>
                <w:rFonts w:ascii="Aptos" w:hAnsi="Aptos"/>
                <w:b w:val="0"/>
                <w:bCs w:val="0"/>
                <w:noProof/>
                <w:sz w:val="22"/>
              </w:rPr>
              <w:t>5</w:t>
            </w:r>
            <w:r w:rsidRPr="00AC03F2">
              <w:rPr>
                <w:rFonts w:ascii="Aptos" w:hAnsi="Aptos"/>
                <w:b w:val="0"/>
                <w:bCs w:val="0"/>
                <w:noProof/>
                <w:sz w:val="22"/>
              </w:rPr>
              <w:t>]</w:t>
            </w:r>
          </w:p>
          <w:p w14:paraId="0C3F3CCF" w14:textId="77777777" w:rsidR="0031733B" w:rsidRPr="00AC03F2" w:rsidDel="00D65D09" w:rsidRDefault="0031733B">
            <w:pPr>
              <w:rPr>
                <w:rFonts w:ascii="Aptos" w:hAnsi="Aptos"/>
                <w:b w:val="0"/>
                <w:bCs w:val="0"/>
                <w:sz w:val="22"/>
              </w:rPr>
            </w:pPr>
          </w:p>
        </w:tc>
        <w:tc>
          <w:tcPr>
            <w:tcW w:w="1770" w:type="dxa"/>
          </w:tcPr>
          <w:p w14:paraId="0B868D47" w14:textId="12C8352B" w:rsidR="0031733B" w:rsidRPr="00AC03F2" w:rsidRDefault="009E511E" w:rsidP="009E511E">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sidRPr="009E511E">
              <w:rPr>
                <w:rFonts w:ascii="Aptos" w:hAnsi="Aptos"/>
                <w:color w:val="000000"/>
                <w:sz w:val="22"/>
                <w:lang w:val="en-US"/>
              </w:rPr>
              <w:t>This study aimed to assess the degree to which</w:t>
            </w:r>
            <w:r>
              <w:rPr>
                <w:rFonts w:ascii="Aptos" w:hAnsi="Aptos"/>
                <w:color w:val="000000"/>
                <w:sz w:val="22"/>
                <w:lang w:val="en-US"/>
              </w:rPr>
              <w:t xml:space="preserve"> </w:t>
            </w:r>
            <w:r w:rsidRPr="009E511E">
              <w:rPr>
                <w:rFonts w:ascii="Aptos" w:hAnsi="Aptos"/>
                <w:color w:val="000000"/>
                <w:sz w:val="22"/>
                <w:lang w:val="en-US"/>
              </w:rPr>
              <w:t>the ‘social cure’ model of psychosocial health captures the</w:t>
            </w:r>
            <w:r>
              <w:rPr>
                <w:rFonts w:ascii="Aptos" w:hAnsi="Aptos"/>
                <w:color w:val="000000"/>
                <w:sz w:val="22"/>
                <w:lang w:val="en-US"/>
              </w:rPr>
              <w:t xml:space="preserve"> </w:t>
            </w:r>
            <w:r w:rsidRPr="009E511E">
              <w:rPr>
                <w:rFonts w:ascii="Aptos" w:hAnsi="Aptos"/>
                <w:color w:val="000000"/>
                <w:sz w:val="22"/>
                <w:lang w:val="en-US"/>
              </w:rPr>
              <w:t xml:space="preserve">understandings and </w:t>
            </w:r>
            <w:r>
              <w:rPr>
                <w:rFonts w:ascii="Aptos" w:hAnsi="Aptos"/>
                <w:color w:val="000000"/>
                <w:sz w:val="22"/>
                <w:lang w:val="en-US"/>
              </w:rPr>
              <w:t>e</w:t>
            </w:r>
            <w:r w:rsidRPr="009E511E">
              <w:rPr>
                <w:rFonts w:ascii="Aptos" w:hAnsi="Aptos"/>
                <w:color w:val="000000"/>
                <w:sz w:val="22"/>
                <w:lang w:val="en-US"/>
              </w:rPr>
              <w:t>xperiences of healthcare staff and</w:t>
            </w:r>
            <w:r>
              <w:rPr>
                <w:rFonts w:ascii="Aptos" w:hAnsi="Aptos"/>
                <w:color w:val="000000"/>
                <w:sz w:val="22"/>
                <w:lang w:val="en-US"/>
              </w:rPr>
              <w:t xml:space="preserve"> </w:t>
            </w:r>
            <w:r w:rsidRPr="009E511E">
              <w:rPr>
                <w:rFonts w:ascii="Aptos" w:hAnsi="Aptos"/>
                <w:color w:val="000000"/>
                <w:sz w:val="22"/>
                <w:lang w:val="en-US"/>
              </w:rPr>
              <w:t>patients in a social prescribing (SP) pathway and the degree</w:t>
            </w:r>
            <w:r>
              <w:rPr>
                <w:rFonts w:ascii="Aptos" w:hAnsi="Aptos"/>
                <w:color w:val="000000"/>
                <w:sz w:val="22"/>
                <w:lang w:val="en-US"/>
              </w:rPr>
              <w:t xml:space="preserve"> </w:t>
            </w:r>
            <w:r w:rsidRPr="009E511E">
              <w:rPr>
                <w:rFonts w:ascii="Aptos" w:hAnsi="Aptos"/>
                <w:color w:val="000000"/>
                <w:sz w:val="22"/>
                <w:lang w:val="en-US"/>
              </w:rPr>
              <w:t>to which these psychosocial processes predict the effect of</w:t>
            </w:r>
            <w:r>
              <w:rPr>
                <w:rFonts w:ascii="Aptos" w:hAnsi="Aptos"/>
                <w:color w:val="000000"/>
                <w:sz w:val="22"/>
                <w:lang w:val="en-US"/>
              </w:rPr>
              <w:t xml:space="preserve"> </w:t>
            </w:r>
            <w:r w:rsidRPr="009E511E">
              <w:rPr>
                <w:rFonts w:ascii="Aptos" w:hAnsi="Aptos"/>
                <w:color w:val="000000"/>
                <w:sz w:val="22"/>
                <w:lang w:val="en-US"/>
              </w:rPr>
              <w:t>the pathway on healthcare usage.</w:t>
            </w:r>
          </w:p>
        </w:tc>
        <w:tc>
          <w:tcPr>
            <w:tcW w:w="1577" w:type="dxa"/>
          </w:tcPr>
          <w:p w14:paraId="43E6925E"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rPr>
            </w:pPr>
            <w:r w:rsidRPr="00AC03F2">
              <w:rPr>
                <w:rFonts w:ascii="Aptos" w:hAnsi="Aptos"/>
                <w:color w:val="000000"/>
                <w:sz w:val="22"/>
              </w:rPr>
              <w:t>Mixed-</w:t>
            </w:r>
            <w:proofErr w:type="spellStart"/>
            <w:r w:rsidRPr="00AC03F2">
              <w:rPr>
                <w:rFonts w:ascii="Aptos" w:hAnsi="Aptos"/>
                <w:color w:val="000000"/>
                <w:sz w:val="22"/>
              </w:rPr>
              <w:t>Method</w:t>
            </w:r>
            <w:proofErr w:type="spellEnd"/>
          </w:p>
          <w:p w14:paraId="7F89F51D"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rPr>
            </w:pPr>
          </w:p>
        </w:tc>
        <w:tc>
          <w:tcPr>
            <w:tcW w:w="1423" w:type="dxa"/>
          </w:tcPr>
          <w:p w14:paraId="263E7A08" w14:textId="77777777" w:rsidR="002E5534"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sidRPr="00AC03F2">
              <w:rPr>
                <w:rFonts w:ascii="Aptos" w:hAnsi="Aptos"/>
                <w:color w:val="000000"/>
                <w:sz w:val="22"/>
                <w:lang w:val="en-US"/>
              </w:rPr>
              <w:t>Study 1: general practitioners (GPs) (n=7),</w:t>
            </w:r>
            <w:r w:rsidRPr="00AC03F2">
              <w:rPr>
                <w:rFonts w:ascii="Aptos" w:hAnsi="Aptos"/>
                <w:color w:val="000000"/>
                <w:sz w:val="22"/>
                <w:lang w:val="en-US"/>
              </w:rPr>
              <w:br/>
              <w:t xml:space="preserve">healthcare providers (n=9) and service users (n=19). </w:t>
            </w:r>
            <w:r w:rsidRPr="00AC03F2">
              <w:rPr>
                <w:rFonts w:ascii="Aptos" w:hAnsi="Aptos"/>
                <w:color w:val="000000"/>
                <w:sz w:val="22"/>
                <w:lang w:val="en-US"/>
              </w:rPr>
              <w:br/>
            </w:r>
            <w:r w:rsidRPr="00AC03F2">
              <w:rPr>
                <w:rFonts w:ascii="Aptos" w:hAnsi="Aptos"/>
                <w:color w:val="000000"/>
                <w:sz w:val="22"/>
                <w:lang w:val="en-US"/>
              </w:rPr>
              <w:br/>
            </w:r>
            <w:r w:rsidRPr="00AC03F2">
              <w:rPr>
                <w:rFonts w:ascii="Aptos" w:hAnsi="Aptos"/>
                <w:color w:val="000000"/>
                <w:sz w:val="22"/>
                <w:lang w:val="en-US"/>
              </w:rPr>
              <w:br/>
              <w:t xml:space="preserve">Study 2: N=630 patients engaging with SP </w:t>
            </w:r>
          </w:p>
          <w:p w14:paraId="6A8D58FC" w14:textId="31305520"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sidRPr="00AC03F2">
              <w:rPr>
                <w:rFonts w:ascii="Aptos" w:hAnsi="Aptos"/>
                <w:color w:val="000000"/>
                <w:sz w:val="22"/>
                <w:lang w:val="en-US"/>
              </w:rPr>
              <w:t>29–85 years (average age: 60.4 years)</w:t>
            </w:r>
          </w:p>
          <w:p w14:paraId="4B9BBAB3"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p>
        </w:tc>
        <w:tc>
          <w:tcPr>
            <w:tcW w:w="2370" w:type="dxa"/>
          </w:tcPr>
          <w:p w14:paraId="3056483C"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AC03F2">
              <w:rPr>
                <w:rFonts w:ascii="Aptos" w:hAnsi="Aptos"/>
                <w:sz w:val="22"/>
                <w:lang w:val="en-US"/>
              </w:rPr>
              <w:t>Outcome category: 2, 3</w:t>
            </w:r>
          </w:p>
          <w:p w14:paraId="408B477B" w14:textId="660A29DC" w:rsidR="00AC03F2" w:rsidRPr="00AC03F2" w:rsidRDefault="0031733B" w:rsidP="00C51744">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sidRPr="00AC03F2">
              <w:rPr>
                <w:rFonts w:ascii="Aptos" w:hAnsi="Aptos"/>
                <w:sz w:val="22"/>
                <w:lang w:val="en-US"/>
              </w:rPr>
              <w:t>1. GP perspective on social prescribing</w:t>
            </w:r>
            <w:r w:rsidRPr="00AC03F2">
              <w:rPr>
                <w:rFonts w:ascii="Aptos" w:hAnsi="Aptos"/>
                <w:sz w:val="22"/>
                <w:lang w:val="en-US"/>
              </w:rPr>
              <w:br/>
              <w:t>2. Experiences from SP</w:t>
            </w:r>
            <w:r w:rsidRPr="00AC03F2">
              <w:rPr>
                <w:rFonts w:ascii="Aptos" w:hAnsi="Aptos"/>
                <w:color w:val="000000"/>
                <w:sz w:val="22"/>
                <w:lang w:val="en-US"/>
              </w:rPr>
              <w:br/>
              <w:t>Study 1:</w:t>
            </w:r>
            <w:r w:rsidRPr="00AC03F2">
              <w:rPr>
                <w:rFonts w:ascii="Aptos" w:hAnsi="Aptos"/>
                <w:sz w:val="22"/>
                <w:lang w:val="en-US"/>
              </w:rPr>
              <w:t xml:space="preserve"> </w:t>
            </w:r>
            <w:r w:rsidRPr="00AC03F2">
              <w:rPr>
                <w:rFonts w:ascii="Aptos" w:hAnsi="Aptos"/>
                <w:color w:val="000000"/>
                <w:sz w:val="22"/>
                <w:lang w:val="en-US"/>
              </w:rPr>
              <w:t xml:space="preserve">GPs </w:t>
            </w:r>
            <w:r w:rsidR="00BD6467" w:rsidRPr="00AC03F2">
              <w:rPr>
                <w:rFonts w:ascii="Aptos" w:hAnsi="Aptos"/>
                <w:color w:val="000000"/>
                <w:sz w:val="22"/>
                <w:lang w:val="en-US"/>
              </w:rPr>
              <w:t>recognized</w:t>
            </w:r>
            <w:r w:rsidRPr="00AC03F2">
              <w:rPr>
                <w:rFonts w:ascii="Aptos" w:hAnsi="Aptos"/>
                <w:color w:val="000000"/>
                <w:sz w:val="22"/>
                <w:lang w:val="en-US"/>
              </w:rPr>
              <w:t xml:space="preserve"> that a change is required in terms of how health, well-being and social concerns are understood/addressed by health services and society. They described how the NHS traditionally does not address social isolation.</w:t>
            </w:r>
            <w:r w:rsidR="00AC03F2" w:rsidRPr="00AC03F2">
              <w:rPr>
                <w:rFonts w:ascii="Aptos" w:hAnsi="Aptos"/>
                <w:color w:val="000000"/>
                <w:sz w:val="22"/>
                <w:lang w:val="en-US"/>
              </w:rPr>
              <w:t xml:space="preserve"> </w:t>
            </w:r>
          </w:p>
          <w:p w14:paraId="42BEAFC4" w14:textId="0A001751" w:rsidR="0031733B" w:rsidRPr="00AC03F2" w:rsidRDefault="0031733B" w:rsidP="00C51744">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AC03F2">
              <w:rPr>
                <w:rFonts w:ascii="Aptos" w:hAnsi="Aptos"/>
                <w:color w:val="000000"/>
                <w:sz w:val="22"/>
                <w:lang w:val="en-US"/>
              </w:rPr>
              <w:t>Study 2: patients’ primary care usage decreased with SP.</w:t>
            </w:r>
          </w:p>
        </w:tc>
      </w:tr>
      <w:tr w:rsidR="005A7EF6" w:rsidRPr="00CA1696" w14:paraId="2113FCDA" w14:textId="77777777" w:rsidTr="005A7EF6">
        <w:trPr>
          <w:trHeight w:val="132"/>
        </w:trPr>
        <w:tc>
          <w:tcPr>
            <w:cnfStyle w:val="001000000000" w:firstRow="0" w:lastRow="0" w:firstColumn="1" w:lastColumn="0" w:oddVBand="0" w:evenVBand="0" w:oddHBand="0" w:evenHBand="0" w:firstRowFirstColumn="0" w:firstRowLastColumn="0" w:lastRowFirstColumn="0" w:lastRowLastColumn="0"/>
            <w:tcW w:w="1922" w:type="dxa"/>
          </w:tcPr>
          <w:p w14:paraId="7BDFC985" w14:textId="77777777" w:rsidR="0031733B" w:rsidRPr="00AC03F2" w:rsidRDefault="0031733B">
            <w:pPr>
              <w:rPr>
                <w:rFonts w:ascii="Aptos" w:hAnsi="Aptos"/>
                <w:b w:val="0"/>
                <w:bCs w:val="0"/>
                <w:sz w:val="22"/>
                <w:lang w:val="en-GB"/>
              </w:rPr>
            </w:pPr>
            <w:r w:rsidRPr="00AC03F2">
              <w:rPr>
                <w:rFonts w:ascii="Aptos" w:hAnsi="Aptos"/>
                <w:b w:val="0"/>
                <w:bCs w:val="0"/>
                <w:sz w:val="22"/>
                <w:lang w:val="en-GB"/>
              </w:rPr>
              <w:t>Kiely et al.</w:t>
            </w:r>
          </w:p>
          <w:p w14:paraId="5342F8FD" w14:textId="77777777" w:rsidR="0031733B" w:rsidRPr="00AC03F2" w:rsidRDefault="0031733B">
            <w:pPr>
              <w:rPr>
                <w:rFonts w:ascii="Aptos" w:hAnsi="Aptos"/>
                <w:b w:val="0"/>
                <w:bCs w:val="0"/>
                <w:sz w:val="22"/>
                <w:lang w:val="en-GB"/>
              </w:rPr>
            </w:pPr>
            <w:r w:rsidRPr="00AC03F2">
              <w:rPr>
                <w:rFonts w:ascii="Aptos" w:hAnsi="Aptos"/>
                <w:b w:val="0"/>
                <w:bCs w:val="0"/>
                <w:sz w:val="22"/>
                <w:lang w:val="en-GB"/>
              </w:rPr>
              <w:t>2021</w:t>
            </w:r>
          </w:p>
          <w:p w14:paraId="4B56DD8C" w14:textId="2BB17D9A" w:rsidR="0031733B" w:rsidRPr="00AC03F2" w:rsidRDefault="004C447F">
            <w:pPr>
              <w:rPr>
                <w:rFonts w:ascii="Aptos" w:hAnsi="Aptos"/>
                <w:b w:val="0"/>
                <w:bCs w:val="0"/>
                <w:sz w:val="22"/>
                <w:lang w:val="en-GB"/>
              </w:rPr>
            </w:pPr>
            <w:r w:rsidRPr="00AC03F2">
              <w:rPr>
                <w:rFonts w:ascii="Aptos" w:hAnsi="Aptos"/>
                <w:b w:val="0"/>
                <w:bCs w:val="0"/>
                <w:sz w:val="22"/>
                <w:lang w:val="en-GB"/>
              </w:rPr>
              <w:t>Irelan</w:t>
            </w:r>
            <w:r w:rsidRPr="00AC03F2">
              <w:rPr>
                <w:rFonts w:ascii="Aptos" w:hAnsi="Aptos"/>
                <w:sz w:val="22"/>
                <w:lang w:val="en-GB"/>
              </w:rPr>
              <w:t>d</w:t>
            </w:r>
          </w:p>
          <w:p w14:paraId="5E7E2351" w14:textId="2716AEAE" w:rsidR="0031733B" w:rsidRPr="00AC03F2" w:rsidRDefault="0031733B">
            <w:pPr>
              <w:rPr>
                <w:rFonts w:ascii="Aptos" w:hAnsi="Aptos"/>
                <w:b w:val="0"/>
                <w:bCs w:val="0"/>
                <w:sz w:val="22"/>
                <w:lang w:val="en-GB"/>
              </w:rPr>
            </w:pPr>
            <w:r w:rsidRPr="00AC03F2">
              <w:rPr>
                <w:rFonts w:ascii="Aptos" w:hAnsi="Aptos"/>
                <w:b w:val="0"/>
                <w:bCs w:val="0"/>
                <w:noProof/>
                <w:sz w:val="22"/>
                <w:lang w:val="en-GB"/>
              </w:rPr>
              <w:t>[</w:t>
            </w:r>
            <w:r w:rsidR="00E85305">
              <w:rPr>
                <w:rFonts w:ascii="Aptos" w:hAnsi="Aptos"/>
                <w:b w:val="0"/>
                <w:bCs w:val="0"/>
                <w:noProof/>
                <w:sz w:val="22"/>
                <w:lang w:val="en-GB"/>
              </w:rPr>
              <w:t>6</w:t>
            </w:r>
            <w:r w:rsidRPr="00AC03F2">
              <w:rPr>
                <w:rFonts w:ascii="Aptos" w:hAnsi="Aptos"/>
                <w:b w:val="0"/>
                <w:bCs w:val="0"/>
                <w:noProof/>
                <w:sz w:val="22"/>
                <w:lang w:val="en-GB"/>
              </w:rPr>
              <w:t>]</w:t>
            </w:r>
          </w:p>
          <w:p w14:paraId="281DC400" w14:textId="77777777" w:rsidR="0031733B" w:rsidRPr="00AC03F2" w:rsidRDefault="0031733B">
            <w:pPr>
              <w:rPr>
                <w:rFonts w:ascii="Aptos" w:hAnsi="Aptos"/>
                <w:b w:val="0"/>
                <w:bCs w:val="0"/>
                <w:sz w:val="22"/>
                <w:lang w:val="en-GB"/>
              </w:rPr>
            </w:pPr>
          </w:p>
          <w:p w14:paraId="18F50B38" w14:textId="77777777" w:rsidR="0031733B" w:rsidRPr="00AC03F2" w:rsidRDefault="0031733B">
            <w:pPr>
              <w:rPr>
                <w:rFonts w:ascii="Aptos" w:hAnsi="Aptos"/>
                <w:b w:val="0"/>
                <w:bCs w:val="0"/>
                <w:sz w:val="22"/>
                <w:lang w:val="en-GB"/>
              </w:rPr>
            </w:pPr>
            <w:r w:rsidRPr="00AC03F2">
              <w:rPr>
                <w:rFonts w:ascii="Aptos" w:hAnsi="Aptos"/>
                <w:b w:val="0"/>
                <w:bCs w:val="0"/>
                <w:sz w:val="22"/>
                <w:lang w:val="en-GB"/>
              </w:rPr>
              <w:t>Included in systematic review by Sadio et al.</w:t>
            </w:r>
          </w:p>
          <w:p w14:paraId="0BBC274F" w14:textId="77777777" w:rsidR="0031733B" w:rsidRPr="00AC03F2" w:rsidRDefault="0031733B">
            <w:pPr>
              <w:rPr>
                <w:rFonts w:ascii="Aptos" w:hAnsi="Aptos"/>
                <w:b w:val="0"/>
                <w:bCs w:val="0"/>
                <w:sz w:val="22"/>
                <w:lang w:val="en-GB"/>
              </w:rPr>
            </w:pPr>
          </w:p>
        </w:tc>
        <w:tc>
          <w:tcPr>
            <w:tcW w:w="1770" w:type="dxa"/>
          </w:tcPr>
          <w:p w14:paraId="4E8C81B4" w14:textId="32EEF476" w:rsidR="0031733B" w:rsidRPr="00AC03F2" w:rsidRDefault="0031733B" w:rsidP="00C51744">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AC03F2">
              <w:rPr>
                <w:rFonts w:ascii="Aptos" w:hAnsi="Aptos"/>
                <w:color w:val="000000"/>
                <w:sz w:val="22"/>
                <w:lang w:val="en-US"/>
              </w:rPr>
              <w:t>Aims to test the effectiveness of primary care-based link workers providing social prescribing in improving health outcomes for people with multimorbidity who attend general practices in deprived areas in Ireland.</w:t>
            </w:r>
          </w:p>
        </w:tc>
        <w:tc>
          <w:tcPr>
            <w:tcW w:w="1577" w:type="dxa"/>
          </w:tcPr>
          <w:p w14:paraId="23CA83EF" w14:textId="77777777" w:rsidR="0031733B" w:rsidRDefault="0031733B">
            <w:pPr>
              <w:cnfStyle w:val="000000000000" w:firstRow="0" w:lastRow="0" w:firstColumn="0" w:lastColumn="0" w:oddVBand="0" w:evenVBand="0" w:oddHBand="0" w:evenHBand="0" w:firstRowFirstColumn="0" w:firstRowLastColumn="0" w:lastRowFirstColumn="0" w:lastRowLastColumn="0"/>
              <w:rPr>
                <w:rFonts w:ascii="Aptos" w:hAnsi="Aptos"/>
                <w:color w:val="000000"/>
                <w:sz w:val="22"/>
                <w:u w:val="single"/>
                <w:lang w:val="en-US"/>
              </w:rPr>
            </w:pPr>
            <w:r w:rsidRPr="00AC03F2">
              <w:rPr>
                <w:rFonts w:ascii="Aptos" w:hAnsi="Aptos"/>
                <w:color w:val="000000"/>
                <w:sz w:val="22"/>
                <w:u w:val="single"/>
                <w:lang w:val="en-US"/>
              </w:rPr>
              <w:t>Quantitative</w:t>
            </w:r>
            <w:r w:rsidR="00185E71">
              <w:rPr>
                <w:rFonts w:ascii="Aptos" w:hAnsi="Aptos"/>
                <w:color w:val="000000"/>
                <w:sz w:val="22"/>
                <w:u w:val="single"/>
                <w:lang w:val="en-US"/>
              </w:rPr>
              <w:t xml:space="preserve"> </w:t>
            </w:r>
          </w:p>
          <w:p w14:paraId="7F58AA4F" w14:textId="5BEBE3DA" w:rsidR="00185E71" w:rsidRPr="00AC03F2" w:rsidRDefault="00185E71">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r>
              <w:rPr>
                <w:rFonts w:ascii="Aptos" w:hAnsi="Aptos"/>
                <w:color w:val="000000"/>
                <w:sz w:val="22"/>
                <w:lang w:val="en-US"/>
              </w:rPr>
              <w:t>U</w:t>
            </w:r>
            <w:r w:rsidRPr="00185E71">
              <w:rPr>
                <w:rFonts w:ascii="Aptos" w:hAnsi="Aptos"/>
                <w:color w:val="000000"/>
                <w:sz w:val="22"/>
                <w:lang w:val="en-US"/>
              </w:rPr>
              <w:t xml:space="preserve">ncontrolled </w:t>
            </w:r>
            <w:r w:rsidR="0089706C">
              <w:rPr>
                <w:rFonts w:ascii="Aptos" w:hAnsi="Aptos"/>
                <w:color w:val="000000"/>
                <w:sz w:val="22"/>
                <w:lang w:val="en-US"/>
              </w:rPr>
              <w:t xml:space="preserve">cohort </w:t>
            </w:r>
            <w:r w:rsidRPr="00185E71">
              <w:rPr>
                <w:rFonts w:ascii="Aptos" w:hAnsi="Aptos"/>
                <w:color w:val="000000"/>
                <w:sz w:val="22"/>
                <w:lang w:val="en-US"/>
              </w:rPr>
              <w:t>pilot study</w:t>
            </w:r>
          </w:p>
        </w:tc>
        <w:tc>
          <w:tcPr>
            <w:tcW w:w="1423" w:type="dxa"/>
          </w:tcPr>
          <w:p w14:paraId="078A8353" w14:textId="5BFA372F"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color w:val="000000"/>
                <w:sz w:val="22"/>
              </w:rPr>
            </w:pPr>
            <w:r w:rsidRPr="00AC03F2">
              <w:rPr>
                <w:rFonts w:ascii="Aptos" w:hAnsi="Aptos"/>
                <w:color w:val="000000" w:themeColor="text1"/>
                <w:sz w:val="22"/>
              </w:rPr>
              <w:t xml:space="preserve">N=15 </w:t>
            </w:r>
            <w:r w:rsidRPr="00AC03F2">
              <w:rPr>
                <w:rFonts w:ascii="Aptos" w:hAnsi="Aptos"/>
                <w:sz w:val="22"/>
              </w:rPr>
              <w:br/>
            </w:r>
            <w:proofErr w:type="spellStart"/>
            <w:r w:rsidR="00085373">
              <w:rPr>
                <w:rFonts w:ascii="Aptos" w:hAnsi="Aptos"/>
                <w:color w:val="000000" w:themeColor="text1"/>
                <w:sz w:val="22"/>
              </w:rPr>
              <w:t>Mean</w:t>
            </w:r>
            <w:proofErr w:type="spellEnd"/>
            <w:r w:rsidR="00085373">
              <w:rPr>
                <w:rFonts w:ascii="Aptos" w:hAnsi="Aptos"/>
                <w:color w:val="000000" w:themeColor="text1"/>
                <w:sz w:val="22"/>
              </w:rPr>
              <w:t xml:space="preserve"> age</w:t>
            </w:r>
            <w:r w:rsidRPr="00AC03F2">
              <w:rPr>
                <w:rFonts w:ascii="Aptos" w:hAnsi="Aptos"/>
                <w:color w:val="000000" w:themeColor="text1"/>
                <w:sz w:val="22"/>
              </w:rPr>
              <w:t xml:space="preserve"> 63 (9.9)</w:t>
            </w:r>
          </w:p>
          <w:p w14:paraId="67DCCCE9"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rPr>
            </w:pPr>
          </w:p>
        </w:tc>
        <w:tc>
          <w:tcPr>
            <w:tcW w:w="2370" w:type="dxa"/>
          </w:tcPr>
          <w:p w14:paraId="1CADE49B"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AC03F2">
              <w:rPr>
                <w:rFonts w:ascii="Aptos" w:hAnsi="Aptos"/>
                <w:sz w:val="22"/>
                <w:lang w:val="en-US"/>
              </w:rPr>
              <w:t>Outcome category: 3</w:t>
            </w:r>
          </w:p>
          <w:p w14:paraId="52BA1A38"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AC03F2">
              <w:rPr>
                <w:rFonts w:ascii="Aptos" w:hAnsi="Aptos"/>
                <w:sz w:val="22"/>
                <w:lang w:val="en-US"/>
              </w:rPr>
              <w:t>Recruitment to SP</w:t>
            </w:r>
          </w:p>
          <w:p w14:paraId="59A8BD3A"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AC03F2">
              <w:rPr>
                <w:rFonts w:ascii="Aptos" w:hAnsi="Aptos"/>
                <w:sz w:val="22"/>
                <w:lang w:val="en-US"/>
              </w:rPr>
              <w:t>Outcomes were recruitment and retention</w:t>
            </w:r>
          </w:p>
          <w:p w14:paraId="397037A8"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AC03F2">
              <w:rPr>
                <w:rFonts w:ascii="Aptos" w:hAnsi="Aptos"/>
                <w:sz w:val="22"/>
                <w:lang w:val="en-US"/>
              </w:rPr>
              <w:t>rates and acceptability of the trial processes and intervention to patients, general practitioners (GPs) and the link worker.</w:t>
            </w:r>
          </w:p>
        </w:tc>
      </w:tr>
      <w:tr w:rsidR="005A7EF6" w:rsidRPr="00CA1696" w14:paraId="678B6E32" w14:textId="77777777" w:rsidTr="005A7EF6">
        <w:trPr>
          <w:cnfStyle w:val="000000100000" w:firstRow="0" w:lastRow="0" w:firstColumn="0" w:lastColumn="0" w:oddVBand="0" w:evenVBand="0" w:oddHBand="1" w:evenHBand="0" w:firstRowFirstColumn="0" w:firstRowLastColumn="0" w:lastRowFirstColumn="0" w:lastRowLastColumn="0"/>
          <w:trHeight w:hRule="exact" w:val="3980"/>
        </w:trPr>
        <w:tc>
          <w:tcPr>
            <w:cnfStyle w:val="001000000000" w:firstRow="0" w:lastRow="0" w:firstColumn="1" w:lastColumn="0" w:oddVBand="0" w:evenVBand="0" w:oddHBand="0" w:evenHBand="0" w:firstRowFirstColumn="0" w:firstRowLastColumn="0" w:lastRowFirstColumn="0" w:lastRowLastColumn="0"/>
            <w:tcW w:w="1922" w:type="dxa"/>
          </w:tcPr>
          <w:p w14:paraId="16D8025A" w14:textId="77777777" w:rsidR="0031733B" w:rsidRPr="00AC03F2" w:rsidRDefault="0031733B">
            <w:pPr>
              <w:rPr>
                <w:rFonts w:ascii="Aptos" w:hAnsi="Aptos"/>
                <w:b w:val="0"/>
                <w:bCs w:val="0"/>
                <w:sz w:val="22"/>
                <w:lang w:val="en-GB"/>
              </w:rPr>
            </w:pPr>
            <w:r w:rsidRPr="00AC03F2">
              <w:rPr>
                <w:rFonts w:ascii="Aptos" w:hAnsi="Aptos"/>
                <w:b w:val="0"/>
                <w:bCs w:val="0"/>
                <w:sz w:val="22"/>
                <w:lang w:val="en-GB"/>
              </w:rPr>
              <w:lastRenderedPageBreak/>
              <w:t>Loftus et al.</w:t>
            </w:r>
            <w:commentRangeStart w:id="0"/>
            <w:commentRangeEnd w:id="0"/>
            <w:r w:rsidRPr="00AC03F2">
              <w:rPr>
                <w:rStyle w:val="Kommentarsreferens"/>
                <w:rFonts w:ascii="Aptos" w:hAnsi="Aptos"/>
                <w:b w:val="0"/>
                <w:bCs w:val="0"/>
                <w:sz w:val="22"/>
                <w:szCs w:val="22"/>
              </w:rPr>
              <w:commentReference w:id="0"/>
            </w:r>
          </w:p>
          <w:p w14:paraId="77DEF149" w14:textId="77777777" w:rsidR="0031733B" w:rsidRPr="00AC03F2" w:rsidRDefault="0031733B">
            <w:pPr>
              <w:rPr>
                <w:rFonts w:ascii="Aptos" w:hAnsi="Aptos"/>
                <w:b w:val="0"/>
                <w:bCs w:val="0"/>
                <w:sz w:val="22"/>
                <w:lang w:val="en-GB"/>
              </w:rPr>
            </w:pPr>
            <w:r w:rsidRPr="00AC03F2">
              <w:rPr>
                <w:rFonts w:ascii="Aptos" w:hAnsi="Aptos"/>
                <w:b w:val="0"/>
                <w:bCs w:val="0"/>
                <w:sz w:val="22"/>
                <w:lang w:val="en-GB"/>
              </w:rPr>
              <w:t>2017</w:t>
            </w:r>
          </w:p>
          <w:p w14:paraId="3EDB7F5F" w14:textId="77777777" w:rsidR="0031733B" w:rsidRPr="00AC03F2" w:rsidRDefault="0031733B">
            <w:pPr>
              <w:rPr>
                <w:rFonts w:ascii="Aptos" w:hAnsi="Aptos"/>
                <w:b w:val="0"/>
                <w:bCs w:val="0"/>
                <w:sz w:val="22"/>
                <w:lang w:val="en-GB"/>
              </w:rPr>
            </w:pPr>
            <w:r w:rsidRPr="00AC03F2">
              <w:rPr>
                <w:rFonts w:ascii="Aptos" w:hAnsi="Aptos"/>
                <w:b w:val="0"/>
                <w:bCs w:val="0"/>
                <w:sz w:val="22"/>
                <w:lang w:val="en-GB"/>
              </w:rPr>
              <w:t>UK</w:t>
            </w:r>
          </w:p>
          <w:p w14:paraId="05B2311D" w14:textId="7DA8DDCB" w:rsidR="0031733B" w:rsidRPr="00AC03F2" w:rsidRDefault="0031733B">
            <w:pPr>
              <w:rPr>
                <w:rFonts w:ascii="Aptos" w:hAnsi="Aptos"/>
                <w:b w:val="0"/>
                <w:bCs w:val="0"/>
                <w:sz w:val="22"/>
                <w:lang w:val="en-GB"/>
              </w:rPr>
            </w:pPr>
            <w:r w:rsidRPr="00AC03F2">
              <w:rPr>
                <w:rFonts w:ascii="Aptos" w:hAnsi="Aptos"/>
                <w:b w:val="0"/>
                <w:bCs w:val="0"/>
                <w:noProof/>
                <w:sz w:val="22"/>
                <w:lang w:val="en-GB"/>
              </w:rPr>
              <w:t>[</w:t>
            </w:r>
            <w:r w:rsidR="00E85305">
              <w:rPr>
                <w:rFonts w:ascii="Aptos" w:hAnsi="Aptos"/>
                <w:b w:val="0"/>
                <w:bCs w:val="0"/>
                <w:noProof/>
                <w:sz w:val="22"/>
                <w:lang w:val="en-GB"/>
              </w:rPr>
              <w:t>7</w:t>
            </w:r>
            <w:r w:rsidRPr="00AC03F2">
              <w:rPr>
                <w:rFonts w:ascii="Aptos" w:hAnsi="Aptos"/>
                <w:b w:val="0"/>
                <w:bCs w:val="0"/>
                <w:noProof/>
                <w:sz w:val="22"/>
                <w:lang w:val="en-GB"/>
              </w:rPr>
              <w:t>]</w:t>
            </w:r>
          </w:p>
          <w:p w14:paraId="2012D198" w14:textId="77777777" w:rsidR="0031733B" w:rsidRPr="00AC03F2" w:rsidRDefault="0031733B">
            <w:pPr>
              <w:rPr>
                <w:rFonts w:ascii="Aptos" w:hAnsi="Aptos"/>
                <w:b w:val="0"/>
                <w:bCs w:val="0"/>
                <w:sz w:val="22"/>
                <w:lang w:val="en-GB"/>
              </w:rPr>
            </w:pPr>
          </w:p>
          <w:p w14:paraId="0CFF8692" w14:textId="77777777" w:rsidR="0031733B" w:rsidRPr="00AC03F2" w:rsidRDefault="0031733B">
            <w:pPr>
              <w:rPr>
                <w:rFonts w:ascii="Aptos" w:hAnsi="Aptos"/>
                <w:b w:val="0"/>
                <w:bCs w:val="0"/>
                <w:sz w:val="22"/>
                <w:lang w:val="en-GB"/>
              </w:rPr>
            </w:pPr>
            <w:r w:rsidRPr="00AC03F2">
              <w:rPr>
                <w:rFonts w:ascii="Aptos" w:hAnsi="Aptos"/>
                <w:b w:val="0"/>
                <w:bCs w:val="0"/>
                <w:sz w:val="22"/>
                <w:lang w:val="en-GB"/>
              </w:rPr>
              <w:t>Included in two systematic reviews Percival et al. and Sadio et al.</w:t>
            </w:r>
          </w:p>
        </w:tc>
        <w:tc>
          <w:tcPr>
            <w:tcW w:w="1770" w:type="dxa"/>
          </w:tcPr>
          <w:p w14:paraId="41DA340E"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sidRPr="00AC03F2">
              <w:rPr>
                <w:rFonts w:ascii="Aptos" w:hAnsi="Aptos"/>
                <w:color w:val="000000"/>
                <w:sz w:val="22"/>
                <w:lang w:val="en-US"/>
              </w:rPr>
              <w:t xml:space="preserve">This study sought to determine </w:t>
            </w:r>
            <w:r w:rsidRPr="00AC03F2">
              <w:rPr>
                <w:rFonts w:ascii="Aptos" w:hAnsi="Aptos"/>
                <w:color w:val="000000"/>
                <w:sz w:val="22"/>
                <w:lang w:val="en-US"/>
              </w:rPr>
              <w:br/>
              <w:t>whether social prescribing activities influenced patient-general practitioner (GP) contacts and polypharmacy.</w:t>
            </w:r>
          </w:p>
          <w:p w14:paraId="6B0BCC95"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p>
        </w:tc>
        <w:tc>
          <w:tcPr>
            <w:tcW w:w="1577" w:type="dxa"/>
          </w:tcPr>
          <w:p w14:paraId="5084DBA8" w14:textId="77777777" w:rsidR="0031733B"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themeColor="text1"/>
                <w:sz w:val="22"/>
              </w:rPr>
            </w:pPr>
            <w:r w:rsidRPr="00AC03F2">
              <w:rPr>
                <w:rFonts w:ascii="Aptos" w:hAnsi="Aptos"/>
                <w:color w:val="000000"/>
                <w:sz w:val="22"/>
                <w:u w:val="single"/>
                <w:lang w:val="en-US"/>
              </w:rPr>
              <w:t>Quantitative</w:t>
            </w:r>
            <w:r w:rsidRPr="00AC03F2" w:rsidDel="003361AB">
              <w:rPr>
                <w:rFonts w:ascii="Aptos" w:hAnsi="Aptos"/>
                <w:color w:val="000000" w:themeColor="text1"/>
                <w:sz w:val="22"/>
              </w:rPr>
              <w:t xml:space="preserve"> </w:t>
            </w:r>
          </w:p>
          <w:p w14:paraId="3EB4659E" w14:textId="33040644" w:rsidR="00060F59" w:rsidRPr="00AC03F2" w:rsidRDefault="00060F59">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Pr>
                <w:rFonts w:ascii="Aptos" w:hAnsi="Aptos"/>
                <w:color w:val="000000"/>
                <w:sz w:val="22"/>
                <w:lang w:val="en-US"/>
              </w:rPr>
              <w:t>Uncontrolled cohort study</w:t>
            </w:r>
          </w:p>
        </w:tc>
        <w:tc>
          <w:tcPr>
            <w:tcW w:w="1423" w:type="dxa"/>
          </w:tcPr>
          <w:p w14:paraId="29AB310C"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sidRPr="00AC03F2">
              <w:rPr>
                <w:rFonts w:ascii="Aptos" w:hAnsi="Aptos"/>
                <w:color w:val="000000"/>
                <w:sz w:val="22"/>
                <w:lang w:val="en-US"/>
              </w:rPr>
              <w:t>N=68</w:t>
            </w:r>
          </w:p>
          <w:p w14:paraId="27855A40" w14:textId="757AC3B5"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themeColor="text1"/>
                <w:sz w:val="22"/>
                <w:lang w:val="en-US"/>
              </w:rPr>
            </w:pPr>
            <w:r w:rsidRPr="00AC03F2">
              <w:rPr>
                <w:rFonts w:ascii="Aptos" w:hAnsi="Aptos"/>
                <w:color w:val="000000" w:themeColor="text1"/>
                <w:sz w:val="22"/>
                <w:lang w:val="en-US"/>
              </w:rPr>
              <w:t xml:space="preserve">Patients over 65 years of age </w:t>
            </w:r>
          </w:p>
        </w:tc>
        <w:tc>
          <w:tcPr>
            <w:tcW w:w="2370" w:type="dxa"/>
          </w:tcPr>
          <w:p w14:paraId="41E40844"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AC03F2">
              <w:rPr>
                <w:rFonts w:ascii="Aptos" w:hAnsi="Aptos"/>
                <w:sz w:val="22"/>
                <w:lang w:val="en-US"/>
              </w:rPr>
              <w:t>Outcome category: 4</w:t>
            </w:r>
          </w:p>
          <w:p w14:paraId="641DE953"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A02B93"/>
                <w:sz w:val="22"/>
                <w:lang w:val="en-US"/>
              </w:rPr>
            </w:pPr>
          </w:p>
          <w:p w14:paraId="6A8D0013"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AC03F2">
              <w:rPr>
                <w:rFonts w:ascii="Aptos" w:hAnsi="Aptos"/>
                <w:sz w:val="22"/>
                <w:lang w:val="en-US"/>
              </w:rPr>
              <w:t>GP perspective on social prescribing</w:t>
            </w:r>
          </w:p>
          <w:p w14:paraId="3E48BA76"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A02B93"/>
                <w:sz w:val="22"/>
                <w:lang w:val="en-US"/>
              </w:rPr>
            </w:pPr>
          </w:p>
          <w:p w14:paraId="07260761"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A02B93"/>
                <w:sz w:val="22"/>
                <w:lang w:val="en-US"/>
              </w:rPr>
            </w:pPr>
            <w:r w:rsidRPr="00AC03F2">
              <w:rPr>
                <w:rFonts w:ascii="Aptos" w:hAnsi="Aptos"/>
                <w:sz w:val="22"/>
                <w:lang w:val="en-US"/>
              </w:rPr>
              <w:t>GP´s workload.</w:t>
            </w:r>
          </w:p>
          <w:p w14:paraId="58F5C4CA"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AC03F2">
              <w:rPr>
                <w:rFonts w:ascii="Aptos" w:hAnsi="Aptos"/>
                <w:color w:val="000000"/>
                <w:sz w:val="22"/>
                <w:lang w:val="en-US"/>
              </w:rPr>
              <w:t>Indications for social prescribing activity.</w:t>
            </w:r>
          </w:p>
        </w:tc>
      </w:tr>
      <w:tr w:rsidR="005A7EF6" w:rsidRPr="00CA1696" w14:paraId="4EB558AD" w14:textId="77777777" w:rsidTr="005A7EF6">
        <w:trPr>
          <w:trHeight w:val="2242"/>
        </w:trPr>
        <w:tc>
          <w:tcPr>
            <w:cnfStyle w:val="001000000000" w:firstRow="0" w:lastRow="0" w:firstColumn="1" w:lastColumn="0" w:oddVBand="0" w:evenVBand="0" w:oddHBand="0" w:evenHBand="0" w:firstRowFirstColumn="0" w:firstRowLastColumn="0" w:lastRowFirstColumn="0" w:lastRowLastColumn="0"/>
            <w:tcW w:w="1922" w:type="dxa"/>
          </w:tcPr>
          <w:p w14:paraId="6B0F54D2" w14:textId="77777777" w:rsidR="0031733B" w:rsidRPr="00AC03F2" w:rsidRDefault="0031733B">
            <w:pPr>
              <w:rPr>
                <w:rFonts w:ascii="Aptos" w:hAnsi="Aptos"/>
                <w:b w:val="0"/>
                <w:bCs w:val="0"/>
                <w:sz w:val="22"/>
                <w:lang w:val="en-GB"/>
              </w:rPr>
            </w:pPr>
            <w:r w:rsidRPr="00AC03F2">
              <w:rPr>
                <w:rFonts w:ascii="Aptos" w:hAnsi="Aptos"/>
                <w:b w:val="0"/>
                <w:bCs w:val="0"/>
                <w:sz w:val="22"/>
                <w:lang w:val="en-GB"/>
              </w:rPr>
              <w:t>Munford et al.</w:t>
            </w:r>
          </w:p>
          <w:p w14:paraId="4635E244" w14:textId="77777777" w:rsidR="0031733B" w:rsidRPr="00AC03F2" w:rsidRDefault="0031733B">
            <w:pPr>
              <w:rPr>
                <w:rFonts w:ascii="Aptos" w:hAnsi="Aptos"/>
                <w:b w:val="0"/>
                <w:bCs w:val="0"/>
                <w:sz w:val="22"/>
                <w:lang w:val="en-GB"/>
              </w:rPr>
            </w:pPr>
            <w:r w:rsidRPr="00AC03F2">
              <w:rPr>
                <w:rFonts w:ascii="Aptos" w:hAnsi="Aptos"/>
                <w:b w:val="0"/>
                <w:bCs w:val="0"/>
                <w:sz w:val="22"/>
                <w:lang w:val="en-GB"/>
              </w:rPr>
              <w:t>2020</w:t>
            </w:r>
          </w:p>
          <w:p w14:paraId="1C362CC9" w14:textId="77777777" w:rsidR="0031733B" w:rsidRPr="00AC03F2" w:rsidRDefault="0031733B">
            <w:pPr>
              <w:rPr>
                <w:rFonts w:ascii="Aptos" w:hAnsi="Aptos"/>
                <w:b w:val="0"/>
                <w:bCs w:val="0"/>
                <w:sz w:val="22"/>
                <w:lang w:val="en-GB"/>
              </w:rPr>
            </w:pPr>
            <w:r w:rsidRPr="00AC03F2">
              <w:rPr>
                <w:rFonts w:ascii="Aptos" w:hAnsi="Aptos"/>
                <w:b w:val="0"/>
                <w:bCs w:val="0"/>
                <w:sz w:val="22"/>
                <w:lang w:val="en-GB"/>
              </w:rPr>
              <w:t>UK</w:t>
            </w:r>
          </w:p>
          <w:p w14:paraId="6560EBF1" w14:textId="2113BCFF" w:rsidR="0031733B" w:rsidRPr="00AC03F2" w:rsidRDefault="0031733B">
            <w:pPr>
              <w:rPr>
                <w:rFonts w:ascii="Aptos" w:hAnsi="Aptos"/>
                <w:b w:val="0"/>
                <w:bCs w:val="0"/>
                <w:sz w:val="22"/>
                <w:lang w:val="en-GB"/>
              </w:rPr>
            </w:pPr>
            <w:r w:rsidRPr="00AC03F2">
              <w:rPr>
                <w:rFonts w:ascii="Aptos" w:hAnsi="Aptos"/>
                <w:b w:val="0"/>
                <w:bCs w:val="0"/>
                <w:noProof/>
                <w:sz w:val="22"/>
                <w:lang w:val="en-GB"/>
              </w:rPr>
              <w:t>[</w:t>
            </w:r>
            <w:r w:rsidR="00E85305">
              <w:rPr>
                <w:rFonts w:ascii="Aptos" w:hAnsi="Aptos"/>
                <w:b w:val="0"/>
                <w:bCs w:val="0"/>
                <w:noProof/>
                <w:sz w:val="22"/>
                <w:lang w:val="en-GB"/>
              </w:rPr>
              <w:t>8</w:t>
            </w:r>
            <w:r w:rsidRPr="00AC03F2">
              <w:rPr>
                <w:rFonts w:ascii="Aptos" w:hAnsi="Aptos"/>
                <w:b w:val="0"/>
                <w:bCs w:val="0"/>
                <w:noProof/>
                <w:sz w:val="22"/>
                <w:lang w:val="en-GB"/>
              </w:rPr>
              <w:t>]</w:t>
            </w:r>
          </w:p>
          <w:p w14:paraId="52485CFC" w14:textId="77777777" w:rsidR="0031733B" w:rsidRPr="00AC03F2" w:rsidRDefault="0031733B">
            <w:pPr>
              <w:rPr>
                <w:rFonts w:ascii="Aptos" w:hAnsi="Aptos"/>
                <w:b w:val="0"/>
                <w:bCs w:val="0"/>
                <w:sz w:val="22"/>
                <w:lang w:val="en-GB"/>
              </w:rPr>
            </w:pPr>
          </w:p>
          <w:p w14:paraId="3D24009F" w14:textId="77777777" w:rsidR="0031733B" w:rsidRPr="00AC03F2" w:rsidRDefault="0031733B">
            <w:pPr>
              <w:rPr>
                <w:rFonts w:ascii="Aptos" w:hAnsi="Aptos"/>
                <w:b w:val="0"/>
                <w:bCs w:val="0"/>
                <w:color w:val="000000" w:themeColor="text1"/>
                <w:sz w:val="22"/>
                <w:lang w:val="en-GB"/>
              </w:rPr>
            </w:pPr>
            <w:r w:rsidRPr="00AC03F2">
              <w:rPr>
                <w:rFonts w:ascii="Aptos" w:hAnsi="Aptos"/>
                <w:b w:val="0"/>
                <w:bCs w:val="0"/>
                <w:sz w:val="22"/>
                <w:lang w:val="en-GB"/>
              </w:rPr>
              <w:t>Included in systematic review by Sadio et al.</w:t>
            </w:r>
          </w:p>
        </w:tc>
        <w:tc>
          <w:tcPr>
            <w:tcW w:w="1770" w:type="dxa"/>
          </w:tcPr>
          <w:p w14:paraId="29389BC5"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r w:rsidRPr="00AC03F2">
              <w:rPr>
                <w:rFonts w:ascii="Aptos" w:hAnsi="Aptos"/>
                <w:color w:val="000000"/>
                <w:sz w:val="22"/>
                <w:lang w:val="en-US"/>
              </w:rPr>
              <w:t>The study's goal was to examine the</w:t>
            </w:r>
            <w:r w:rsidRPr="00AC03F2">
              <w:rPr>
                <w:rFonts w:ascii="Aptos" w:hAnsi="Aptos"/>
                <w:color w:val="000000"/>
                <w:sz w:val="22"/>
                <w:lang w:val="en-US"/>
              </w:rPr>
              <w:br/>
              <w:t xml:space="preserve"> effectiveness of community assets at improving QoL among older people living in the community.</w:t>
            </w:r>
          </w:p>
          <w:p w14:paraId="7BBC9D65"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p>
        </w:tc>
        <w:tc>
          <w:tcPr>
            <w:tcW w:w="1577" w:type="dxa"/>
          </w:tcPr>
          <w:p w14:paraId="560D9EF6" w14:textId="77777777" w:rsidR="0031733B" w:rsidRPr="005A7EF6" w:rsidRDefault="0031733B">
            <w:pPr>
              <w:cnfStyle w:val="000000000000" w:firstRow="0" w:lastRow="0" w:firstColumn="0" w:lastColumn="0" w:oddVBand="0" w:evenVBand="0" w:oddHBand="0" w:evenHBand="0" w:firstRowFirstColumn="0" w:firstRowLastColumn="0" w:lastRowFirstColumn="0" w:lastRowLastColumn="0"/>
              <w:rPr>
                <w:rFonts w:ascii="Aptos" w:hAnsi="Aptos"/>
                <w:color w:val="000000" w:themeColor="text1"/>
                <w:sz w:val="22"/>
                <w:lang w:val="en-US"/>
              </w:rPr>
            </w:pPr>
            <w:r w:rsidRPr="00AC03F2">
              <w:rPr>
                <w:rFonts w:ascii="Aptos" w:hAnsi="Aptos"/>
                <w:color w:val="000000"/>
                <w:sz w:val="22"/>
                <w:u w:val="single"/>
                <w:lang w:val="en-US"/>
              </w:rPr>
              <w:t>Quantitative</w:t>
            </w:r>
            <w:r w:rsidRPr="005A7EF6" w:rsidDel="003361AB">
              <w:rPr>
                <w:rFonts w:ascii="Aptos" w:hAnsi="Aptos"/>
                <w:color w:val="000000" w:themeColor="text1"/>
                <w:sz w:val="22"/>
                <w:lang w:val="en-US"/>
              </w:rPr>
              <w:t xml:space="preserve"> </w:t>
            </w:r>
          </w:p>
          <w:p w14:paraId="0DEF1AD0" w14:textId="1303953E" w:rsidR="00AD3F57" w:rsidRPr="009B35D6" w:rsidRDefault="005913C9">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r>
              <w:rPr>
                <w:rFonts w:ascii="Aptos" w:hAnsi="Aptos"/>
                <w:color w:val="000000"/>
                <w:sz w:val="22"/>
                <w:lang w:val="en-US"/>
              </w:rPr>
              <w:t xml:space="preserve">Controlled </w:t>
            </w:r>
            <w:r w:rsidR="00D52632">
              <w:rPr>
                <w:rFonts w:ascii="Aptos" w:hAnsi="Aptos"/>
                <w:color w:val="000000"/>
                <w:sz w:val="22"/>
                <w:lang w:val="en-US"/>
              </w:rPr>
              <w:t xml:space="preserve">cohort </w:t>
            </w:r>
            <w:r w:rsidR="00C4155E">
              <w:rPr>
                <w:rFonts w:ascii="Aptos" w:hAnsi="Aptos"/>
                <w:color w:val="000000"/>
                <w:sz w:val="22"/>
                <w:lang w:val="en-US"/>
              </w:rPr>
              <w:t xml:space="preserve">based on </w:t>
            </w:r>
            <w:r w:rsidRPr="005A7EF6">
              <w:rPr>
                <w:rFonts w:ascii="Aptos" w:hAnsi="Aptos"/>
                <w:color w:val="000000"/>
                <w:sz w:val="22"/>
                <w:lang w:val="en-US"/>
              </w:rPr>
              <w:t>longitudinal survey data</w:t>
            </w:r>
          </w:p>
        </w:tc>
        <w:tc>
          <w:tcPr>
            <w:tcW w:w="1423" w:type="dxa"/>
          </w:tcPr>
          <w:p w14:paraId="28E45F6D"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r w:rsidRPr="00AC03F2">
              <w:rPr>
                <w:rFonts w:ascii="Aptos" w:hAnsi="Aptos"/>
                <w:color w:val="000000"/>
                <w:sz w:val="22"/>
                <w:lang w:val="en-US"/>
              </w:rPr>
              <w:t>N=</w:t>
            </w:r>
            <w:r w:rsidRPr="00AC03F2">
              <w:rPr>
                <w:rFonts w:ascii="Aptos" w:hAnsi="Aptos"/>
                <w:sz w:val="22"/>
                <w:lang w:val="en-US"/>
              </w:rPr>
              <w:t xml:space="preserve"> </w:t>
            </w:r>
            <w:r w:rsidRPr="00AC03F2">
              <w:rPr>
                <w:rFonts w:ascii="Aptos" w:hAnsi="Aptos"/>
                <w:color w:val="000000"/>
                <w:sz w:val="22"/>
                <w:lang w:val="en-US"/>
              </w:rPr>
              <w:t>2820</w:t>
            </w:r>
          </w:p>
          <w:p w14:paraId="5C2DA579" w14:textId="5495C7A2"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r w:rsidRPr="00AC03F2">
              <w:rPr>
                <w:rFonts w:ascii="Aptos" w:hAnsi="Aptos"/>
                <w:color w:val="000000" w:themeColor="text1"/>
                <w:sz w:val="22"/>
                <w:lang w:val="en-US"/>
              </w:rPr>
              <w:t>Patient age 65+</w:t>
            </w:r>
          </w:p>
          <w:p w14:paraId="5E31FABB"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p>
        </w:tc>
        <w:tc>
          <w:tcPr>
            <w:tcW w:w="2370" w:type="dxa"/>
          </w:tcPr>
          <w:p w14:paraId="3E6CC7BA"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AC03F2">
              <w:rPr>
                <w:rFonts w:ascii="Aptos" w:hAnsi="Aptos"/>
                <w:sz w:val="22"/>
                <w:lang w:val="en-US"/>
              </w:rPr>
              <w:t>Outcome category: 2</w:t>
            </w:r>
          </w:p>
          <w:p w14:paraId="6E3704B5"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color w:val="A02B93"/>
                <w:sz w:val="22"/>
                <w:lang w:val="en-US"/>
              </w:rPr>
            </w:pPr>
          </w:p>
          <w:p w14:paraId="4FBC814C"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AC03F2">
              <w:rPr>
                <w:rFonts w:ascii="Aptos" w:hAnsi="Aptos"/>
                <w:sz w:val="22"/>
                <w:lang w:val="en-US"/>
              </w:rPr>
              <w:t>Quality of life, impact from SP</w:t>
            </w:r>
          </w:p>
          <w:p w14:paraId="0DB93008"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p>
          <w:p w14:paraId="14745A35"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AC03F2">
              <w:rPr>
                <w:rFonts w:ascii="Aptos" w:hAnsi="Aptos"/>
                <w:sz w:val="22"/>
                <w:lang w:val="en-US"/>
              </w:rPr>
              <w:t>Community-wide activities improved quality of life</w:t>
            </w:r>
          </w:p>
        </w:tc>
      </w:tr>
      <w:tr w:rsidR="005A7EF6" w:rsidRPr="00CA1696" w14:paraId="09038C1D" w14:textId="77777777" w:rsidTr="005A7EF6">
        <w:trPr>
          <w:cnfStyle w:val="000000100000" w:firstRow="0" w:lastRow="0" w:firstColumn="0" w:lastColumn="0" w:oddVBand="0" w:evenVBand="0" w:oddHBand="1" w:evenHBand="0" w:firstRowFirstColumn="0" w:firstRowLastColumn="0" w:lastRowFirstColumn="0" w:lastRowLastColumn="0"/>
          <w:trHeight w:hRule="exact" w:val="7665"/>
        </w:trPr>
        <w:tc>
          <w:tcPr>
            <w:cnfStyle w:val="001000000000" w:firstRow="0" w:lastRow="0" w:firstColumn="1" w:lastColumn="0" w:oddVBand="0" w:evenVBand="0" w:oddHBand="0" w:evenHBand="0" w:firstRowFirstColumn="0" w:firstRowLastColumn="0" w:lastRowFirstColumn="0" w:lastRowLastColumn="0"/>
            <w:tcW w:w="1922" w:type="dxa"/>
          </w:tcPr>
          <w:p w14:paraId="1E17D23F" w14:textId="77777777" w:rsidR="0031733B" w:rsidRPr="00AC03F2" w:rsidRDefault="0031733B">
            <w:pPr>
              <w:rPr>
                <w:rFonts w:ascii="Aptos" w:hAnsi="Aptos"/>
                <w:b w:val="0"/>
                <w:bCs w:val="0"/>
                <w:sz w:val="22"/>
              </w:rPr>
            </w:pPr>
            <w:proofErr w:type="spellStart"/>
            <w:r w:rsidRPr="00AC03F2">
              <w:rPr>
                <w:rFonts w:ascii="Aptos" w:hAnsi="Aptos"/>
                <w:b w:val="0"/>
                <w:bCs w:val="0"/>
                <w:sz w:val="22"/>
              </w:rPr>
              <w:lastRenderedPageBreak/>
              <w:t>Orellanas</w:t>
            </w:r>
            <w:proofErr w:type="spellEnd"/>
            <w:r w:rsidRPr="00AC03F2">
              <w:rPr>
                <w:rFonts w:ascii="Aptos" w:hAnsi="Aptos"/>
                <w:b w:val="0"/>
                <w:bCs w:val="0"/>
                <w:sz w:val="22"/>
              </w:rPr>
              <w:t xml:space="preserve"> et al.</w:t>
            </w:r>
          </w:p>
          <w:p w14:paraId="12E975DC" w14:textId="77777777" w:rsidR="0031733B" w:rsidRPr="00AC03F2" w:rsidRDefault="0031733B">
            <w:pPr>
              <w:rPr>
                <w:rFonts w:ascii="Aptos" w:hAnsi="Aptos"/>
                <w:b w:val="0"/>
                <w:bCs w:val="0"/>
                <w:sz w:val="22"/>
              </w:rPr>
            </w:pPr>
            <w:r w:rsidRPr="00AC03F2">
              <w:rPr>
                <w:rFonts w:ascii="Aptos" w:hAnsi="Aptos"/>
                <w:b w:val="0"/>
                <w:bCs w:val="0"/>
                <w:sz w:val="22"/>
              </w:rPr>
              <w:t>2020</w:t>
            </w:r>
          </w:p>
          <w:p w14:paraId="215B2A87" w14:textId="77777777" w:rsidR="0031733B" w:rsidRPr="00AC03F2" w:rsidRDefault="0031733B">
            <w:pPr>
              <w:rPr>
                <w:rFonts w:ascii="Aptos" w:hAnsi="Aptos"/>
                <w:b w:val="0"/>
                <w:bCs w:val="0"/>
                <w:sz w:val="22"/>
              </w:rPr>
            </w:pPr>
            <w:r w:rsidRPr="00AC03F2">
              <w:rPr>
                <w:rFonts w:ascii="Aptos" w:hAnsi="Aptos"/>
                <w:b w:val="0"/>
                <w:bCs w:val="0"/>
                <w:sz w:val="22"/>
              </w:rPr>
              <w:t>UK</w:t>
            </w:r>
          </w:p>
          <w:p w14:paraId="417B39F6" w14:textId="5AECD8D1" w:rsidR="0031733B" w:rsidRPr="00AC03F2" w:rsidRDefault="0031733B">
            <w:pPr>
              <w:rPr>
                <w:rFonts w:ascii="Aptos" w:hAnsi="Aptos"/>
                <w:b w:val="0"/>
                <w:bCs w:val="0"/>
                <w:sz w:val="22"/>
              </w:rPr>
            </w:pPr>
            <w:r w:rsidRPr="00AC03F2">
              <w:rPr>
                <w:rFonts w:ascii="Aptos" w:hAnsi="Aptos"/>
                <w:b w:val="0"/>
                <w:bCs w:val="0"/>
                <w:noProof/>
                <w:sz w:val="22"/>
              </w:rPr>
              <w:t>[</w:t>
            </w:r>
            <w:r w:rsidR="00E85305">
              <w:rPr>
                <w:rFonts w:ascii="Aptos" w:hAnsi="Aptos"/>
                <w:b w:val="0"/>
                <w:bCs w:val="0"/>
                <w:noProof/>
                <w:sz w:val="22"/>
              </w:rPr>
              <w:t>9</w:t>
            </w:r>
            <w:r w:rsidRPr="00AC03F2">
              <w:rPr>
                <w:rFonts w:ascii="Aptos" w:hAnsi="Aptos"/>
                <w:b w:val="0"/>
                <w:bCs w:val="0"/>
                <w:noProof/>
                <w:sz w:val="22"/>
              </w:rPr>
              <w:t>]</w:t>
            </w:r>
          </w:p>
          <w:p w14:paraId="2F6B5FB2" w14:textId="77777777" w:rsidR="0031733B" w:rsidRPr="00AC03F2" w:rsidRDefault="0031733B">
            <w:pPr>
              <w:rPr>
                <w:rFonts w:ascii="Aptos" w:hAnsi="Aptos"/>
                <w:b w:val="0"/>
                <w:bCs w:val="0"/>
                <w:sz w:val="22"/>
              </w:rPr>
            </w:pPr>
          </w:p>
        </w:tc>
        <w:tc>
          <w:tcPr>
            <w:tcW w:w="1770" w:type="dxa"/>
          </w:tcPr>
          <w:p w14:paraId="4542F486" w14:textId="6E96D0B3"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sidRPr="00AC03F2">
              <w:rPr>
                <w:rFonts w:ascii="Aptos" w:hAnsi="Aptos"/>
                <w:color w:val="000000"/>
                <w:sz w:val="22"/>
                <w:lang w:val="en-US"/>
              </w:rPr>
              <w:t xml:space="preserve">Investigating what they offered, who used them, why and how, what they contributed to the lives of those involved in them. At macro level, it further explored professional perceptions, and centers’ relationships with local health and care services, and the potential utility of collecting data about attenders using </w:t>
            </w:r>
            <w:r w:rsidR="00987653" w:rsidRPr="00AC03F2">
              <w:rPr>
                <w:rFonts w:ascii="Aptos" w:hAnsi="Aptos"/>
                <w:color w:val="000000"/>
                <w:sz w:val="22"/>
                <w:lang w:val="en-US"/>
              </w:rPr>
              <w:t>standardized</w:t>
            </w:r>
            <w:r w:rsidRPr="00AC03F2">
              <w:rPr>
                <w:rFonts w:ascii="Aptos" w:hAnsi="Aptos"/>
                <w:color w:val="000000"/>
                <w:sz w:val="22"/>
                <w:lang w:val="en-US"/>
              </w:rPr>
              <w:t xml:space="preserve"> measures.</w:t>
            </w:r>
          </w:p>
          <w:p w14:paraId="34AB8FBF"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p>
        </w:tc>
        <w:tc>
          <w:tcPr>
            <w:tcW w:w="1577" w:type="dxa"/>
          </w:tcPr>
          <w:p w14:paraId="34B66EC6"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rPr>
            </w:pPr>
            <w:r w:rsidRPr="00AC03F2">
              <w:rPr>
                <w:rFonts w:ascii="Aptos" w:hAnsi="Aptos"/>
                <w:color w:val="000000"/>
                <w:sz w:val="22"/>
              </w:rPr>
              <w:t>Mixed-</w:t>
            </w:r>
            <w:proofErr w:type="spellStart"/>
            <w:r w:rsidRPr="00AC03F2">
              <w:rPr>
                <w:rFonts w:ascii="Aptos" w:hAnsi="Aptos"/>
                <w:color w:val="000000"/>
                <w:sz w:val="22"/>
              </w:rPr>
              <w:t>method</w:t>
            </w:r>
            <w:proofErr w:type="spellEnd"/>
          </w:p>
          <w:p w14:paraId="55C47A58"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p>
        </w:tc>
        <w:tc>
          <w:tcPr>
            <w:tcW w:w="1423" w:type="dxa"/>
          </w:tcPr>
          <w:p w14:paraId="6D9668B1"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sidRPr="00AC03F2">
              <w:rPr>
                <w:rFonts w:ascii="Aptos" w:hAnsi="Aptos"/>
                <w:color w:val="000000"/>
                <w:sz w:val="22"/>
                <w:lang w:val="en-US"/>
              </w:rPr>
              <w:t>N=23</w:t>
            </w:r>
          </w:p>
          <w:p w14:paraId="3E3B4FA1"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sidRPr="00AC03F2">
              <w:rPr>
                <w:rFonts w:ascii="Aptos" w:hAnsi="Aptos"/>
                <w:color w:val="000000"/>
                <w:sz w:val="22"/>
                <w:lang w:val="en-US"/>
              </w:rPr>
              <w:t>Average age was 83.3 years (range 68–101 years)</w:t>
            </w:r>
          </w:p>
          <w:p w14:paraId="046A9AC0"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p>
        </w:tc>
        <w:tc>
          <w:tcPr>
            <w:tcW w:w="2370" w:type="dxa"/>
          </w:tcPr>
          <w:p w14:paraId="08BF6144"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AC03F2">
              <w:rPr>
                <w:rFonts w:ascii="Aptos" w:hAnsi="Aptos"/>
                <w:sz w:val="22"/>
                <w:lang w:val="en-US"/>
              </w:rPr>
              <w:t>Outcome category: 4</w:t>
            </w:r>
          </w:p>
          <w:p w14:paraId="310312F2"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b/>
                <w:bCs/>
                <w:color w:val="A02B93"/>
                <w:sz w:val="22"/>
                <w:lang w:val="en-US"/>
              </w:rPr>
            </w:pPr>
          </w:p>
          <w:p w14:paraId="5DFA8BF4"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AC03F2">
              <w:rPr>
                <w:rFonts w:ascii="Aptos" w:hAnsi="Aptos"/>
                <w:sz w:val="22"/>
                <w:lang w:val="en-US"/>
              </w:rPr>
              <w:t>Day center attendance</w:t>
            </w:r>
          </w:p>
          <w:p w14:paraId="6FD7F8C3"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A02B93"/>
                <w:sz w:val="22"/>
                <w:lang w:val="en-US"/>
              </w:rPr>
            </w:pPr>
          </w:p>
          <w:p w14:paraId="4B6F4AF9"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sidRPr="00AC03F2">
              <w:rPr>
                <w:rFonts w:ascii="Aptos" w:hAnsi="Aptos"/>
                <w:sz w:val="22"/>
                <w:lang w:val="en-US"/>
              </w:rPr>
              <w:t>Characteristics of attenders at day centers and their reasons for attendance and outcomes were explored.</w:t>
            </w:r>
          </w:p>
          <w:p w14:paraId="079C0F4C"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p>
        </w:tc>
      </w:tr>
      <w:tr w:rsidR="005A7EF6" w:rsidRPr="00CA1696" w14:paraId="60D40EE6" w14:textId="77777777" w:rsidTr="005A7EF6">
        <w:trPr>
          <w:trHeight w:val="7078"/>
        </w:trPr>
        <w:tc>
          <w:tcPr>
            <w:cnfStyle w:val="001000000000" w:firstRow="0" w:lastRow="0" w:firstColumn="1" w:lastColumn="0" w:oddVBand="0" w:evenVBand="0" w:oddHBand="0" w:evenHBand="0" w:firstRowFirstColumn="0" w:firstRowLastColumn="0" w:lastRowFirstColumn="0" w:lastRowLastColumn="0"/>
            <w:tcW w:w="1922" w:type="dxa"/>
          </w:tcPr>
          <w:p w14:paraId="6822DC2C" w14:textId="77777777" w:rsidR="0031733B" w:rsidRPr="00AC03F2" w:rsidRDefault="0031733B">
            <w:pPr>
              <w:rPr>
                <w:rFonts w:ascii="Aptos" w:hAnsi="Aptos"/>
                <w:b w:val="0"/>
                <w:bCs w:val="0"/>
                <w:sz w:val="22"/>
                <w:lang w:val="en-US"/>
              </w:rPr>
            </w:pPr>
            <w:r w:rsidRPr="00AC03F2">
              <w:rPr>
                <w:rFonts w:ascii="Aptos" w:hAnsi="Aptos"/>
                <w:b w:val="0"/>
                <w:bCs w:val="0"/>
                <w:sz w:val="22"/>
                <w:lang w:val="en-US"/>
              </w:rPr>
              <w:lastRenderedPageBreak/>
              <w:t>Poulos et al.</w:t>
            </w:r>
          </w:p>
          <w:p w14:paraId="1C656133" w14:textId="77777777" w:rsidR="0031733B" w:rsidRPr="00AC03F2" w:rsidRDefault="0031733B">
            <w:pPr>
              <w:rPr>
                <w:rFonts w:ascii="Aptos" w:hAnsi="Aptos"/>
                <w:b w:val="0"/>
                <w:bCs w:val="0"/>
                <w:sz w:val="22"/>
                <w:lang w:val="en-US"/>
              </w:rPr>
            </w:pPr>
            <w:r w:rsidRPr="00AC03F2">
              <w:rPr>
                <w:rFonts w:ascii="Aptos" w:hAnsi="Aptos"/>
                <w:b w:val="0"/>
                <w:bCs w:val="0"/>
                <w:sz w:val="22"/>
                <w:lang w:val="en-US"/>
              </w:rPr>
              <w:t>2019</w:t>
            </w:r>
          </w:p>
          <w:p w14:paraId="784E9380" w14:textId="1C780FEC" w:rsidR="0031733B" w:rsidRPr="00AC03F2" w:rsidRDefault="004E35F0">
            <w:pPr>
              <w:rPr>
                <w:rFonts w:ascii="Aptos" w:hAnsi="Aptos"/>
                <w:b w:val="0"/>
                <w:bCs w:val="0"/>
                <w:sz w:val="22"/>
                <w:lang w:val="en-US"/>
              </w:rPr>
            </w:pPr>
            <w:r>
              <w:rPr>
                <w:rFonts w:ascii="Aptos" w:hAnsi="Aptos"/>
                <w:b w:val="0"/>
                <w:bCs w:val="0"/>
                <w:sz w:val="22"/>
                <w:lang w:val="en-US"/>
              </w:rPr>
              <w:t>Australia</w:t>
            </w:r>
          </w:p>
          <w:p w14:paraId="797D9B9E" w14:textId="71333A4B" w:rsidR="0031733B" w:rsidRPr="00AC03F2" w:rsidRDefault="0031733B">
            <w:pPr>
              <w:rPr>
                <w:rFonts w:ascii="Aptos" w:hAnsi="Aptos"/>
                <w:b w:val="0"/>
                <w:bCs w:val="0"/>
                <w:sz w:val="22"/>
                <w:lang w:val="en-US"/>
              </w:rPr>
            </w:pPr>
            <w:r w:rsidRPr="00AC03F2">
              <w:rPr>
                <w:rFonts w:ascii="Aptos" w:hAnsi="Aptos"/>
                <w:b w:val="0"/>
                <w:bCs w:val="0"/>
                <w:noProof/>
                <w:sz w:val="22"/>
                <w:lang w:val="en-US"/>
              </w:rPr>
              <w:t>[1</w:t>
            </w:r>
            <w:r w:rsidR="00E85305">
              <w:rPr>
                <w:rFonts w:ascii="Aptos" w:hAnsi="Aptos"/>
                <w:b w:val="0"/>
                <w:bCs w:val="0"/>
                <w:noProof/>
                <w:sz w:val="22"/>
                <w:lang w:val="en-US"/>
              </w:rPr>
              <w:t>0</w:t>
            </w:r>
            <w:r w:rsidRPr="00AC03F2">
              <w:rPr>
                <w:rFonts w:ascii="Aptos" w:hAnsi="Aptos"/>
                <w:b w:val="0"/>
                <w:bCs w:val="0"/>
                <w:noProof/>
                <w:sz w:val="22"/>
                <w:lang w:val="en-US"/>
              </w:rPr>
              <w:t>]</w:t>
            </w:r>
          </w:p>
        </w:tc>
        <w:tc>
          <w:tcPr>
            <w:tcW w:w="1770" w:type="dxa"/>
          </w:tcPr>
          <w:p w14:paraId="62C801FE"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r w:rsidRPr="00AC03F2">
              <w:rPr>
                <w:rFonts w:ascii="Aptos" w:hAnsi="Aptos"/>
                <w:color w:val="000000" w:themeColor="text1"/>
                <w:sz w:val="22"/>
                <w:lang w:val="en-US"/>
              </w:rPr>
              <w:t xml:space="preserve">This paper reports the findings from an </w:t>
            </w:r>
            <w:proofErr w:type="spellStart"/>
            <w:r w:rsidRPr="00AC03F2">
              <w:rPr>
                <w:rFonts w:ascii="Aptos" w:hAnsi="Aptos"/>
                <w:color w:val="000000" w:themeColor="text1"/>
                <w:sz w:val="22"/>
                <w:lang w:val="en-US"/>
              </w:rPr>
              <w:t>AoP</w:t>
            </w:r>
            <w:proofErr w:type="spellEnd"/>
            <w:r w:rsidRPr="00AC03F2">
              <w:rPr>
                <w:rFonts w:ascii="Aptos" w:hAnsi="Aptos"/>
                <w:color w:val="000000" w:themeColor="text1"/>
                <w:sz w:val="22"/>
                <w:lang w:val="en-US"/>
              </w:rPr>
              <w:t xml:space="preserve"> program in Sydney, Australia, which targeted community</w:t>
            </w:r>
            <w:r w:rsidRPr="00AC03F2">
              <w:rPr>
                <w:rFonts w:ascii="Cambria Math" w:hAnsi="Cambria Math" w:cs="Cambria Math"/>
                <w:color w:val="000000" w:themeColor="text1"/>
                <w:sz w:val="22"/>
                <w:lang w:val="en-US"/>
              </w:rPr>
              <w:t>‐</w:t>
            </w:r>
            <w:r w:rsidRPr="00AC03F2">
              <w:rPr>
                <w:rFonts w:ascii="Aptos" w:hAnsi="Aptos"/>
                <w:color w:val="000000" w:themeColor="text1"/>
                <w:sz w:val="22"/>
                <w:lang w:val="en-US"/>
              </w:rPr>
              <w:t xml:space="preserve">dwelling older people with a wide range of health and wellness needs. </w:t>
            </w:r>
          </w:p>
          <w:p w14:paraId="2E016862"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p>
        </w:tc>
        <w:tc>
          <w:tcPr>
            <w:tcW w:w="1577" w:type="dxa"/>
          </w:tcPr>
          <w:p w14:paraId="070E3BCA" w14:textId="7247BCE4" w:rsidR="0031733B" w:rsidRPr="005A7EF6" w:rsidRDefault="0031733B">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r w:rsidRPr="005A7EF6">
              <w:rPr>
                <w:rFonts w:ascii="Aptos" w:hAnsi="Aptos"/>
                <w:color w:val="000000"/>
                <w:sz w:val="22"/>
                <w:lang w:val="en-US"/>
              </w:rPr>
              <w:t>Quantitative and qualitative</w:t>
            </w:r>
          </w:p>
          <w:p w14:paraId="48187319" w14:textId="488DB40E" w:rsidR="0031733B" w:rsidRPr="00AC03F2" w:rsidRDefault="00CA1696">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r>
              <w:rPr>
                <w:rFonts w:ascii="Aptos" w:hAnsi="Aptos"/>
                <w:color w:val="000000"/>
                <w:sz w:val="22"/>
                <w:lang w:val="en-US"/>
              </w:rPr>
              <w:t xml:space="preserve">Uncontrolled cohort </w:t>
            </w:r>
            <w:r w:rsidR="001C07F7">
              <w:rPr>
                <w:rFonts w:ascii="Aptos" w:hAnsi="Aptos"/>
                <w:color w:val="000000"/>
                <w:sz w:val="22"/>
                <w:lang w:val="en-US"/>
              </w:rPr>
              <w:t>B</w:t>
            </w:r>
            <w:r w:rsidR="001C07F7" w:rsidRPr="006634E5">
              <w:rPr>
                <w:rFonts w:ascii="Aptos" w:hAnsi="Aptos"/>
                <w:color w:val="000000"/>
                <w:sz w:val="22"/>
                <w:lang w:val="en-US"/>
              </w:rPr>
              <w:t>efore-and-after study</w:t>
            </w:r>
          </w:p>
        </w:tc>
        <w:tc>
          <w:tcPr>
            <w:tcW w:w="1423" w:type="dxa"/>
          </w:tcPr>
          <w:p w14:paraId="6D046131"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AC03F2">
              <w:rPr>
                <w:rFonts w:ascii="Aptos" w:hAnsi="Aptos"/>
                <w:sz w:val="22"/>
                <w:lang w:val="en-US"/>
              </w:rPr>
              <w:t>N=126</w:t>
            </w:r>
          </w:p>
          <w:p w14:paraId="28D62163" w14:textId="7BD9FCCD" w:rsidR="0031733B" w:rsidRPr="00AC03F2" w:rsidRDefault="00243058" w:rsidP="00243058">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Pr>
                <w:rFonts w:ascii="Aptos" w:hAnsi="Aptos"/>
                <w:color w:val="000000"/>
                <w:sz w:val="22"/>
                <w:lang w:val="en-US"/>
              </w:rPr>
              <w:t>A</w:t>
            </w:r>
            <w:r w:rsidR="0031733B" w:rsidRPr="00AC03F2">
              <w:rPr>
                <w:rFonts w:ascii="Aptos" w:hAnsi="Aptos"/>
                <w:color w:val="000000"/>
                <w:sz w:val="22"/>
                <w:lang w:val="en-US"/>
              </w:rPr>
              <w:t>ged 65 years or older</w:t>
            </w:r>
          </w:p>
        </w:tc>
        <w:tc>
          <w:tcPr>
            <w:tcW w:w="2370" w:type="dxa"/>
          </w:tcPr>
          <w:p w14:paraId="39CBAE87"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bCs/>
                <w:sz w:val="22"/>
                <w:lang w:val="en-US"/>
              </w:rPr>
            </w:pPr>
            <w:r w:rsidRPr="00AC03F2">
              <w:rPr>
                <w:rFonts w:ascii="Aptos" w:hAnsi="Aptos"/>
                <w:bCs/>
                <w:sz w:val="22"/>
                <w:lang w:val="en-US"/>
              </w:rPr>
              <w:t>Outcome category: 2</w:t>
            </w:r>
          </w:p>
          <w:p w14:paraId="2B569E71" w14:textId="4DBA8958"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r w:rsidRPr="00AC03F2">
              <w:rPr>
                <w:rFonts w:ascii="Aptos" w:hAnsi="Aptos"/>
                <w:bCs/>
                <w:sz w:val="22"/>
                <w:lang w:val="en-US"/>
              </w:rPr>
              <w:t>Experiences from SP</w:t>
            </w:r>
            <w:r w:rsidRPr="00AC03F2">
              <w:rPr>
                <w:rFonts w:ascii="Aptos" w:hAnsi="Aptos"/>
                <w:color w:val="000000"/>
                <w:sz w:val="22"/>
                <w:lang w:val="en-US"/>
              </w:rPr>
              <w:t>-art</w:t>
            </w:r>
            <w:r w:rsidRPr="00AC03F2">
              <w:rPr>
                <w:rFonts w:ascii="Aptos" w:hAnsi="Aptos"/>
                <w:color w:val="000000"/>
                <w:sz w:val="22"/>
                <w:lang w:val="en-US"/>
              </w:rPr>
              <w:br/>
            </w:r>
            <w:r w:rsidRPr="00AC03F2">
              <w:rPr>
                <w:rFonts w:ascii="Aptos" w:hAnsi="Aptos"/>
                <w:color w:val="000000"/>
                <w:sz w:val="22"/>
                <w:u w:val="single"/>
                <w:lang w:val="en-US"/>
              </w:rPr>
              <w:t>Quantitative findings</w:t>
            </w:r>
            <w:r w:rsidRPr="00AC03F2">
              <w:rPr>
                <w:rFonts w:ascii="Aptos" w:hAnsi="Aptos"/>
                <w:color w:val="000000"/>
                <w:sz w:val="22"/>
                <w:lang w:val="en-US"/>
              </w:rPr>
              <w:t xml:space="preserve"> </w:t>
            </w:r>
            <w:r w:rsidRPr="00AC03F2">
              <w:rPr>
                <w:rFonts w:ascii="Aptos" w:hAnsi="Aptos"/>
                <w:color w:val="000000"/>
                <w:sz w:val="22"/>
                <w:lang w:val="en-US"/>
              </w:rPr>
              <w:br/>
            </w:r>
            <w:r w:rsidR="004E1E97">
              <w:rPr>
                <w:rFonts w:ascii="Aptos" w:hAnsi="Aptos"/>
                <w:color w:val="000000"/>
                <w:sz w:val="22"/>
                <w:lang w:val="en-US"/>
              </w:rPr>
              <w:t>I</w:t>
            </w:r>
            <w:r w:rsidRPr="00AC03F2">
              <w:rPr>
                <w:rFonts w:ascii="Aptos" w:hAnsi="Aptos"/>
                <w:color w:val="000000"/>
                <w:sz w:val="22"/>
                <w:lang w:val="en-US"/>
              </w:rPr>
              <w:t>mprovement in the Warwick</w:t>
            </w:r>
            <w:r w:rsidRPr="00AC03F2">
              <w:rPr>
                <w:rFonts w:ascii="Aptos" w:hAnsi="Aptos" w:cs="Aptos Narrow"/>
                <w:color w:val="000000"/>
                <w:sz w:val="22"/>
                <w:lang w:val="en-US"/>
              </w:rPr>
              <w:t>–</w:t>
            </w:r>
            <w:r w:rsidRPr="00AC03F2">
              <w:rPr>
                <w:rFonts w:ascii="Aptos" w:hAnsi="Aptos"/>
                <w:color w:val="000000"/>
                <w:sz w:val="22"/>
                <w:lang w:val="en-US"/>
              </w:rPr>
              <w:t>Edinburgh Mental Well</w:t>
            </w:r>
            <w:r w:rsidRPr="00AC03F2">
              <w:rPr>
                <w:rFonts w:ascii="Cambria Math" w:hAnsi="Cambria Math" w:cs="Cambria Math"/>
                <w:color w:val="000000"/>
                <w:sz w:val="22"/>
                <w:lang w:val="en-US"/>
              </w:rPr>
              <w:t>‐</w:t>
            </w:r>
            <w:r w:rsidRPr="00AC03F2">
              <w:rPr>
                <w:rFonts w:ascii="Aptos" w:hAnsi="Aptos"/>
                <w:color w:val="000000"/>
                <w:sz w:val="22"/>
                <w:lang w:val="en-US"/>
              </w:rPr>
              <w:t>being Scale (WEMWBS) as well as a</w:t>
            </w:r>
            <w:r w:rsidR="008452CE">
              <w:rPr>
                <w:rFonts w:ascii="Aptos" w:hAnsi="Aptos"/>
                <w:color w:val="000000"/>
                <w:sz w:val="22"/>
                <w:lang w:val="en-US"/>
              </w:rPr>
              <w:t>n</w:t>
            </w:r>
            <w:r w:rsidRPr="00AC03F2">
              <w:rPr>
                <w:rFonts w:ascii="Aptos" w:hAnsi="Aptos"/>
                <w:color w:val="000000"/>
                <w:sz w:val="22"/>
                <w:lang w:val="en-US"/>
              </w:rPr>
              <w:t xml:space="preserve"> increase in the level of self</w:t>
            </w:r>
            <w:r w:rsidRPr="00AC03F2">
              <w:rPr>
                <w:rFonts w:ascii="Cambria Math" w:hAnsi="Cambria Math" w:cs="Cambria Math"/>
                <w:color w:val="000000"/>
                <w:sz w:val="22"/>
                <w:lang w:val="en-US"/>
              </w:rPr>
              <w:t>‐</w:t>
            </w:r>
            <w:r w:rsidRPr="00AC03F2">
              <w:rPr>
                <w:rFonts w:ascii="Aptos" w:hAnsi="Aptos"/>
                <w:color w:val="000000"/>
                <w:sz w:val="22"/>
                <w:lang w:val="en-US"/>
              </w:rPr>
              <w:t xml:space="preserve">reported creativity and frequency of creative activities. </w:t>
            </w:r>
          </w:p>
          <w:p w14:paraId="06F42FA2" w14:textId="4FE7AAE4" w:rsidR="0031733B" w:rsidRPr="00AC03F2" w:rsidRDefault="0031733B" w:rsidP="004E1E97">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AC03F2">
              <w:rPr>
                <w:rFonts w:ascii="Aptos" w:hAnsi="Aptos"/>
                <w:color w:val="000000"/>
                <w:sz w:val="22"/>
                <w:u w:val="single"/>
                <w:lang w:val="en-US"/>
              </w:rPr>
              <w:t>Qualitative findings</w:t>
            </w:r>
            <w:r w:rsidRPr="00AC03F2">
              <w:rPr>
                <w:rFonts w:ascii="Aptos" w:hAnsi="Aptos"/>
                <w:color w:val="000000"/>
                <w:sz w:val="22"/>
                <w:lang w:val="en-US"/>
              </w:rPr>
              <w:t xml:space="preserve"> </w:t>
            </w:r>
            <w:r w:rsidR="004E1E97">
              <w:rPr>
                <w:rFonts w:ascii="Aptos" w:hAnsi="Aptos"/>
                <w:color w:val="000000"/>
                <w:sz w:val="22"/>
                <w:lang w:val="en-US"/>
              </w:rPr>
              <w:br/>
              <w:t>T</w:t>
            </w:r>
            <w:r w:rsidRPr="00AC03F2">
              <w:rPr>
                <w:rFonts w:ascii="Aptos" w:hAnsi="Aptos"/>
                <w:color w:val="000000"/>
                <w:sz w:val="22"/>
                <w:lang w:val="en-US"/>
              </w:rPr>
              <w:t>he program provided challenging artistic activities which created a sense of purpose and direction, enabled personal growth and achievement, and empowered participants, meaningful relationships with others</w:t>
            </w:r>
          </w:p>
        </w:tc>
      </w:tr>
      <w:tr w:rsidR="005A7EF6" w:rsidRPr="00CA1696" w14:paraId="70240049" w14:textId="77777777" w:rsidTr="00725AEA">
        <w:trPr>
          <w:cnfStyle w:val="000000100000" w:firstRow="0" w:lastRow="0" w:firstColumn="0" w:lastColumn="0" w:oddVBand="0" w:evenVBand="0" w:oddHBand="1" w:evenHBand="0" w:firstRowFirstColumn="0" w:firstRowLastColumn="0" w:lastRowFirstColumn="0" w:lastRowLastColumn="0"/>
          <w:trHeight w:hRule="exact" w:val="5354"/>
        </w:trPr>
        <w:tc>
          <w:tcPr>
            <w:cnfStyle w:val="001000000000" w:firstRow="0" w:lastRow="0" w:firstColumn="1" w:lastColumn="0" w:oddVBand="0" w:evenVBand="0" w:oddHBand="0" w:evenHBand="0" w:firstRowFirstColumn="0" w:firstRowLastColumn="0" w:lastRowFirstColumn="0" w:lastRowLastColumn="0"/>
            <w:tcW w:w="1922" w:type="dxa"/>
          </w:tcPr>
          <w:p w14:paraId="424C7E79" w14:textId="77777777" w:rsidR="0031733B" w:rsidRPr="00AC03F2" w:rsidRDefault="0031733B">
            <w:pPr>
              <w:rPr>
                <w:rFonts w:ascii="Aptos" w:hAnsi="Aptos"/>
                <w:b w:val="0"/>
                <w:bCs w:val="0"/>
                <w:sz w:val="22"/>
              </w:rPr>
            </w:pPr>
            <w:r w:rsidRPr="00AC03F2">
              <w:rPr>
                <w:rFonts w:ascii="Aptos" w:hAnsi="Aptos"/>
                <w:b w:val="0"/>
                <w:bCs w:val="0"/>
                <w:sz w:val="22"/>
              </w:rPr>
              <w:t>Porter et al.</w:t>
            </w:r>
          </w:p>
          <w:p w14:paraId="0B9CB789" w14:textId="77777777" w:rsidR="0031733B" w:rsidRPr="00AC03F2" w:rsidRDefault="0031733B">
            <w:pPr>
              <w:rPr>
                <w:rFonts w:ascii="Aptos" w:hAnsi="Aptos"/>
                <w:b w:val="0"/>
                <w:bCs w:val="0"/>
                <w:sz w:val="22"/>
              </w:rPr>
            </w:pPr>
            <w:r w:rsidRPr="00AC03F2">
              <w:rPr>
                <w:rFonts w:ascii="Aptos" w:hAnsi="Aptos"/>
                <w:b w:val="0"/>
                <w:bCs w:val="0"/>
                <w:sz w:val="22"/>
              </w:rPr>
              <w:t>2023</w:t>
            </w:r>
          </w:p>
          <w:p w14:paraId="1639B280" w14:textId="77777777" w:rsidR="0031733B" w:rsidRPr="00AC03F2" w:rsidRDefault="0031733B">
            <w:pPr>
              <w:rPr>
                <w:rFonts w:ascii="Aptos" w:hAnsi="Aptos"/>
                <w:b w:val="0"/>
                <w:bCs w:val="0"/>
                <w:sz w:val="22"/>
              </w:rPr>
            </w:pPr>
            <w:r w:rsidRPr="00AC03F2">
              <w:rPr>
                <w:rFonts w:ascii="Aptos" w:hAnsi="Aptos"/>
                <w:b w:val="0"/>
                <w:bCs w:val="0"/>
                <w:sz w:val="22"/>
              </w:rPr>
              <w:t>UK</w:t>
            </w:r>
          </w:p>
          <w:p w14:paraId="3E81A706" w14:textId="035873DF" w:rsidR="0031733B" w:rsidRPr="00AC03F2" w:rsidRDefault="0031733B">
            <w:pPr>
              <w:rPr>
                <w:rFonts w:ascii="Aptos" w:hAnsi="Aptos"/>
                <w:b w:val="0"/>
                <w:bCs w:val="0"/>
                <w:sz w:val="22"/>
              </w:rPr>
            </w:pPr>
            <w:r w:rsidRPr="00AC03F2">
              <w:rPr>
                <w:rFonts w:ascii="Aptos" w:hAnsi="Aptos"/>
                <w:b w:val="0"/>
                <w:bCs w:val="0"/>
                <w:noProof/>
                <w:sz w:val="22"/>
              </w:rPr>
              <w:t>[1</w:t>
            </w:r>
            <w:r w:rsidR="00E85305">
              <w:rPr>
                <w:rFonts w:ascii="Aptos" w:hAnsi="Aptos"/>
                <w:b w:val="0"/>
                <w:bCs w:val="0"/>
                <w:noProof/>
                <w:sz w:val="22"/>
              </w:rPr>
              <w:t>1</w:t>
            </w:r>
            <w:r w:rsidRPr="00AC03F2">
              <w:rPr>
                <w:rFonts w:ascii="Aptos" w:hAnsi="Aptos"/>
                <w:b w:val="0"/>
                <w:bCs w:val="0"/>
                <w:noProof/>
                <w:sz w:val="22"/>
              </w:rPr>
              <w:t>]</w:t>
            </w:r>
          </w:p>
        </w:tc>
        <w:tc>
          <w:tcPr>
            <w:tcW w:w="1770" w:type="dxa"/>
          </w:tcPr>
          <w:p w14:paraId="0EF178CF" w14:textId="70D17F18"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sidRPr="00AC03F2">
              <w:rPr>
                <w:rFonts w:ascii="Aptos" w:hAnsi="Aptos"/>
                <w:color w:val="000000"/>
                <w:sz w:val="22"/>
                <w:lang w:val="en-US"/>
              </w:rPr>
              <w:t xml:space="preserve">(1) To explore how social prescribing referrals impact experiences of existing members of a voluntary and community-based </w:t>
            </w:r>
            <w:r w:rsidR="00BD6467" w:rsidRPr="00AC03F2">
              <w:rPr>
                <w:rFonts w:ascii="Aptos" w:hAnsi="Aptos"/>
                <w:color w:val="000000"/>
                <w:sz w:val="22"/>
                <w:lang w:val="en-US"/>
              </w:rPr>
              <w:t>organization</w:t>
            </w:r>
            <w:r w:rsidRPr="00AC03F2">
              <w:rPr>
                <w:rFonts w:ascii="Aptos" w:hAnsi="Aptos"/>
                <w:color w:val="000000"/>
                <w:sz w:val="22"/>
                <w:lang w:val="en-US"/>
              </w:rPr>
              <w:t xml:space="preserve"> and (2) to describe the processes and relationships associated with joining community and voluntary </w:t>
            </w:r>
            <w:r w:rsidR="00BD6467" w:rsidRPr="00AC03F2">
              <w:rPr>
                <w:rFonts w:ascii="Aptos" w:hAnsi="Aptos"/>
                <w:color w:val="000000"/>
                <w:sz w:val="22"/>
                <w:lang w:val="en-US"/>
              </w:rPr>
              <w:t>organizations</w:t>
            </w:r>
            <w:r w:rsidRPr="00AC03F2">
              <w:rPr>
                <w:rFonts w:ascii="Aptos" w:hAnsi="Aptos"/>
                <w:color w:val="000000"/>
                <w:sz w:val="22"/>
                <w:lang w:val="en-US"/>
              </w:rPr>
              <w:t>.</w:t>
            </w:r>
          </w:p>
          <w:p w14:paraId="60B458B1"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p>
          <w:p w14:paraId="01BB60B0"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p>
        </w:tc>
        <w:tc>
          <w:tcPr>
            <w:tcW w:w="1577" w:type="dxa"/>
          </w:tcPr>
          <w:p w14:paraId="0C78E003" w14:textId="77777777" w:rsidR="0031733B" w:rsidRPr="005A7EF6"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sidRPr="005A7EF6">
              <w:rPr>
                <w:rFonts w:ascii="Aptos" w:hAnsi="Aptos"/>
                <w:color w:val="000000"/>
                <w:sz w:val="22"/>
                <w:lang w:val="en-US"/>
              </w:rPr>
              <w:t>Quantitative</w:t>
            </w:r>
            <w:r w:rsidRPr="005A7EF6" w:rsidDel="003361AB">
              <w:rPr>
                <w:rFonts w:ascii="Aptos" w:hAnsi="Aptos"/>
                <w:color w:val="000000"/>
                <w:sz w:val="22"/>
                <w:lang w:val="en-US"/>
              </w:rPr>
              <w:t xml:space="preserve"> </w:t>
            </w:r>
            <w:r w:rsidRPr="005A7EF6">
              <w:rPr>
                <w:rFonts w:ascii="Aptos" w:hAnsi="Aptos"/>
                <w:color w:val="000000"/>
                <w:sz w:val="22"/>
                <w:lang w:val="en-US"/>
              </w:rPr>
              <w:t>and qualitative</w:t>
            </w:r>
          </w:p>
          <w:p w14:paraId="14367CAE" w14:textId="41CD9D34" w:rsidR="0031733B" w:rsidRPr="00AC03F2" w:rsidRDefault="00541B4E">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Pr>
                <w:rFonts w:ascii="Aptos" w:hAnsi="Aptos"/>
                <w:color w:val="000000"/>
                <w:sz w:val="22"/>
                <w:lang w:val="en-US"/>
              </w:rPr>
              <w:t>Uncontrolled cohort study</w:t>
            </w:r>
            <w:r w:rsidRPr="00CA1696" w:rsidDel="00541B4E">
              <w:rPr>
                <w:rFonts w:ascii="Aptos" w:hAnsi="Aptos"/>
                <w:color w:val="000000"/>
                <w:sz w:val="22"/>
                <w:lang w:val="en-US"/>
              </w:rPr>
              <w:t xml:space="preserve"> </w:t>
            </w:r>
          </w:p>
        </w:tc>
        <w:tc>
          <w:tcPr>
            <w:tcW w:w="1423" w:type="dxa"/>
          </w:tcPr>
          <w:p w14:paraId="0959E26A"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sidRPr="00AC03F2">
              <w:rPr>
                <w:rFonts w:ascii="Aptos" w:hAnsi="Aptos"/>
                <w:color w:val="000000"/>
                <w:sz w:val="22"/>
                <w:lang w:val="en-US"/>
              </w:rPr>
              <w:t>N=93</w:t>
            </w:r>
          </w:p>
          <w:p w14:paraId="584FC47A"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sidRPr="00AC03F2">
              <w:rPr>
                <w:rFonts w:ascii="Aptos" w:hAnsi="Aptos"/>
                <w:color w:val="000000"/>
                <w:sz w:val="22"/>
                <w:lang w:val="en-US"/>
              </w:rPr>
              <w:t>Men 18 years and older.</w:t>
            </w:r>
            <w:r w:rsidRPr="00AC03F2">
              <w:rPr>
                <w:rFonts w:ascii="Aptos" w:hAnsi="Aptos"/>
                <w:color w:val="000000"/>
                <w:sz w:val="22"/>
                <w:lang w:val="en-US"/>
              </w:rPr>
              <w:br/>
              <w:t>The average age was 67 years</w:t>
            </w:r>
            <w:r w:rsidRPr="00AC03F2">
              <w:rPr>
                <w:rFonts w:ascii="Aptos" w:hAnsi="Aptos"/>
                <w:color w:val="000000"/>
                <w:sz w:val="22"/>
                <w:lang w:val="en-US"/>
              </w:rPr>
              <w:br/>
              <w:t>(range 41–91 years), 93% were male,</w:t>
            </w:r>
            <w:r w:rsidRPr="00AC03F2">
              <w:rPr>
                <w:rFonts w:ascii="Aptos" w:hAnsi="Aptos"/>
                <w:color w:val="000000"/>
                <w:sz w:val="22"/>
                <w:lang w:val="en-US"/>
              </w:rPr>
              <w:br/>
              <w:t>and 99% white.</w:t>
            </w:r>
          </w:p>
          <w:p w14:paraId="073154DA"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p>
        </w:tc>
        <w:tc>
          <w:tcPr>
            <w:tcW w:w="2370" w:type="dxa"/>
          </w:tcPr>
          <w:p w14:paraId="0A90E6CC"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AC03F2">
              <w:rPr>
                <w:rFonts w:ascii="Aptos" w:hAnsi="Aptos"/>
                <w:sz w:val="22"/>
                <w:lang w:val="en-US"/>
              </w:rPr>
              <w:t>Outcome category: 2, 3</w:t>
            </w:r>
          </w:p>
          <w:p w14:paraId="446441E8"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AC03F2">
              <w:rPr>
                <w:rFonts w:ascii="Aptos" w:hAnsi="Aptos"/>
                <w:sz w:val="22"/>
                <w:lang w:val="en-US"/>
              </w:rPr>
              <w:t>Experiences from SP</w:t>
            </w:r>
          </w:p>
          <w:p w14:paraId="56D47E18" w14:textId="3EEE6E8B"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AC03F2">
              <w:rPr>
                <w:rFonts w:ascii="Aptos" w:hAnsi="Aptos"/>
                <w:sz w:val="22"/>
                <w:lang w:val="en-US"/>
              </w:rPr>
              <w:t>Key factors around experiences of social prescribing and referral mechanisms were identified. We developed three themes: -experience of joining</w:t>
            </w:r>
            <w:r w:rsidR="004E1E97">
              <w:rPr>
                <w:rFonts w:ascii="Aptos" w:hAnsi="Aptos"/>
                <w:sz w:val="22"/>
                <w:lang w:val="en-US"/>
              </w:rPr>
              <w:t xml:space="preserve"> </w:t>
            </w:r>
            <w:r w:rsidRPr="00AC03F2">
              <w:rPr>
                <w:rFonts w:ascii="Aptos" w:hAnsi="Aptos"/>
                <w:sz w:val="22"/>
                <w:lang w:val="en-US"/>
              </w:rPr>
              <w:t xml:space="preserve">-success and risk factors. </w:t>
            </w:r>
          </w:p>
          <w:p w14:paraId="30F6338A"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p>
        </w:tc>
      </w:tr>
      <w:tr w:rsidR="005A7EF6" w:rsidRPr="00CA1696" w14:paraId="5BDA456A" w14:textId="77777777" w:rsidTr="00725AEA">
        <w:trPr>
          <w:trHeight w:hRule="exact" w:val="3979"/>
        </w:trPr>
        <w:tc>
          <w:tcPr>
            <w:cnfStyle w:val="001000000000" w:firstRow="0" w:lastRow="0" w:firstColumn="1" w:lastColumn="0" w:oddVBand="0" w:evenVBand="0" w:oddHBand="0" w:evenHBand="0" w:firstRowFirstColumn="0" w:firstRowLastColumn="0" w:lastRowFirstColumn="0" w:lastRowLastColumn="0"/>
            <w:tcW w:w="1922" w:type="dxa"/>
          </w:tcPr>
          <w:p w14:paraId="302BD17A" w14:textId="77777777" w:rsidR="0031733B" w:rsidRPr="00AC03F2" w:rsidRDefault="0031733B">
            <w:pPr>
              <w:rPr>
                <w:rFonts w:ascii="Aptos" w:hAnsi="Aptos"/>
                <w:b w:val="0"/>
                <w:bCs w:val="0"/>
                <w:sz w:val="22"/>
                <w:lang w:val="en-GB"/>
              </w:rPr>
            </w:pPr>
            <w:r w:rsidRPr="00AC03F2">
              <w:rPr>
                <w:rFonts w:ascii="Aptos" w:hAnsi="Aptos"/>
                <w:b w:val="0"/>
                <w:bCs w:val="0"/>
                <w:sz w:val="22"/>
                <w:lang w:val="en-GB"/>
              </w:rPr>
              <w:lastRenderedPageBreak/>
              <w:t>Thomson et al.</w:t>
            </w:r>
          </w:p>
          <w:p w14:paraId="1C1010F6" w14:textId="77777777" w:rsidR="0031733B" w:rsidRPr="00AC03F2" w:rsidRDefault="0031733B">
            <w:pPr>
              <w:rPr>
                <w:rFonts w:ascii="Aptos" w:hAnsi="Aptos"/>
                <w:b w:val="0"/>
                <w:bCs w:val="0"/>
                <w:sz w:val="22"/>
                <w:lang w:val="en-GB"/>
              </w:rPr>
            </w:pPr>
            <w:r w:rsidRPr="00AC03F2">
              <w:rPr>
                <w:rFonts w:ascii="Aptos" w:hAnsi="Aptos"/>
                <w:b w:val="0"/>
                <w:bCs w:val="0"/>
                <w:sz w:val="22"/>
                <w:lang w:val="en-GB"/>
              </w:rPr>
              <w:t>2018</w:t>
            </w:r>
          </w:p>
          <w:p w14:paraId="2F676677" w14:textId="77777777" w:rsidR="0031733B" w:rsidRPr="00AC03F2" w:rsidRDefault="0031733B">
            <w:pPr>
              <w:rPr>
                <w:rFonts w:ascii="Aptos" w:hAnsi="Aptos"/>
                <w:b w:val="0"/>
                <w:bCs w:val="0"/>
                <w:sz w:val="22"/>
                <w:lang w:val="en-GB"/>
              </w:rPr>
            </w:pPr>
            <w:r w:rsidRPr="00AC03F2">
              <w:rPr>
                <w:rFonts w:ascii="Aptos" w:hAnsi="Aptos"/>
                <w:b w:val="0"/>
                <w:bCs w:val="0"/>
                <w:sz w:val="22"/>
                <w:lang w:val="en-GB"/>
              </w:rPr>
              <w:t>UK</w:t>
            </w:r>
          </w:p>
          <w:p w14:paraId="2CD2A671" w14:textId="0FBBC66B" w:rsidR="0031733B" w:rsidRPr="00AC03F2" w:rsidRDefault="0031733B">
            <w:pPr>
              <w:rPr>
                <w:rFonts w:ascii="Aptos" w:hAnsi="Aptos"/>
                <w:b w:val="0"/>
                <w:bCs w:val="0"/>
                <w:sz w:val="22"/>
                <w:lang w:val="en-GB"/>
              </w:rPr>
            </w:pPr>
            <w:r w:rsidRPr="00AC03F2">
              <w:rPr>
                <w:rFonts w:ascii="Aptos" w:hAnsi="Aptos"/>
                <w:b w:val="0"/>
                <w:bCs w:val="0"/>
                <w:noProof/>
                <w:sz w:val="22"/>
                <w:lang w:val="en-GB"/>
              </w:rPr>
              <w:t>[1</w:t>
            </w:r>
            <w:r w:rsidR="00E85305">
              <w:rPr>
                <w:rFonts w:ascii="Aptos" w:hAnsi="Aptos"/>
                <w:b w:val="0"/>
                <w:bCs w:val="0"/>
                <w:noProof/>
                <w:sz w:val="22"/>
                <w:lang w:val="en-GB"/>
              </w:rPr>
              <w:t>2</w:t>
            </w:r>
            <w:r w:rsidRPr="00AC03F2">
              <w:rPr>
                <w:rFonts w:ascii="Aptos" w:hAnsi="Aptos"/>
                <w:b w:val="0"/>
                <w:bCs w:val="0"/>
                <w:noProof/>
                <w:sz w:val="22"/>
                <w:lang w:val="en-GB"/>
              </w:rPr>
              <w:t>]</w:t>
            </w:r>
          </w:p>
          <w:p w14:paraId="28481445" w14:textId="77777777" w:rsidR="0031733B" w:rsidRPr="00AC03F2" w:rsidRDefault="0031733B">
            <w:pPr>
              <w:rPr>
                <w:rFonts w:ascii="Aptos" w:hAnsi="Aptos"/>
                <w:b w:val="0"/>
                <w:bCs w:val="0"/>
                <w:sz w:val="22"/>
                <w:lang w:val="en-GB"/>
              </w:rPr>
            </w:pPr>
          </w:p>
          <w:p w14:paraId="703E5F06" w14:textId="77777777" w:rsidR="0031733B" w:rsidRPr="004E35F0" w:rsidRDefault="0031733B">
            <w:pPr>
              <w:rPr>
                <w:rFonts w:ascii="Aptos" w:hAnsi="Aptos"/>
                <w:b w:val="0"/>
                <w:bCs w:val="0"/>
                <w:sz w:val="22"/>
                <w:lang w:val="nl-NL"/>
              </w:rPr>
            </w:pPr>
            <w:r w:rsidRPr="00AC03F2">
              <w:rPr>
                <w:rFonts w:ascii="Aptos" w:hAnsi="Aptos"/>
                <w:b w:val="0"/>
                <w:bCs w:val="0"/>
                <w:sz w:val="22"/>
                <w:lang w:val="en-GB"/>
              </w:rPr>
              <w:t xml:space="preserve">Included in two systematic reviews. </w:t>
            </w:r>
            <w:r w:rsidRPr="004E35F0">
              <w:rPr>
                <w:rFonts w:ascii="Aptos" w:hAnsi="Aptos"/>
                <w:b w:val="0"/>
                <w:bCs w:val="0"/>
                <w:sz w:val="22"/>
                <w:lang w:val="nl-NL"/>
              </w:rPr>
              <w:t>Percival et al. and Sadio et al.</w:t>
            </w:r>
          </w:p>
          <w:p w14:paraId="23D05FB8" w14:textId="77777777" w:rsidR="0031733B" w:rsidRPr="005A7EF6" w:rsidRDefault="0031733B">
            <w:pPr>
              <w:rPr>
                <w:rFonts w:ascii="Aptos" w:hAnsi="Aptos"/>
                <w:b w:val="0"/>
                <w:bCs w:val="0"/>
                <w:sz w:val="22"/>
                <w:lang w:val="nl-NL"/>
              </w:rPr>
            </w:pPr>
          </w:p>
        </w:tc>
        <w:tc>
          <w:tcPr>
            <w:tcW w:w="1770" w:type="dxa"/>
          </w:tcPr>
          <w:p w14:paraId="44E5A8B6" w14:textId="77777777" w:rsidR="005A7EF6" w:rsidRDefault="0031733B">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r w:rsidRPr="00AC03F2">
              <w:rPr>
                <w:rFonts w:ascii="Aptos" w:hAnsi="Aptos"/>
                <w:color w:val="000000"/>
                <w:sz w:val="22"/>
                <w:lang w:val="en-US"/>
              </w:rPr>
              <w:t>To assess psychological wellbeing in a novel social prescription intervention for older adults called Museums on Prescription</w:t>
            </w:r>
          </w:p>
          <w:p w14:paraId="4AED08AA" w14:textId="77777777" w:rsidR="0031733B" w:rsidRPr="00AC03F2" w:rsidRDefault="0031733B" w:rsidP="005A7EF6">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p>
        </w:tc>
        <w:tc>
          <w:tcPr>
            <w:tcW w:w="1577" w:type="dxa"/>
          </w:tcPr>
          <w:p w14:paraId="365BA147" w14:textId="77777777" w:rsidR="0031733B" w:rsidRPr="005A7EF6" w:rsidRDefault="0031733B">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r w:rsidRPr="00AC03F2">
              <w:rPr>
                <w:rFonts w:ascii="Aptos" w:hAnsi="Aptos"/>
                <w:color w:val="000000"/>
                <w:sz w:val="22"/>
                <w:u w:val="single"/>
                <w:lang w:val="en-US"/>
              </w:rPr>
              <w:t>Quantitative</w:t>
            </w:r>
            <w:r w:rsidRPr="005A7EF6" w:rsidDel="003361AB">
              <w:rPr>
                <w:rFonts w:ascii="Aptos" w:hAnsi="Aptos"/>
                <w:color w:val="000000"/>
                <w:sz w:val="22"/>
                <w:lang w:val="en-US"/>
              </w:rPr>
              <w:t xml:space="preserve"> </w:t>
            </w:r>
          </w:p>
          <w:p w14:paraId="762D1BDE" w14:textId="77777777" w:rsidR="00CA1696" w:rsidRDefault="00CA1696">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r>
              <w:rPr>
                <w:rFonts w:ascii="Aptos" w:hAnsi="Aptos"/>
                <w:color w:val="000000"/>
                <w:sz w:val="22"/>
                <w:lang w:val="en-US"/>
              </w:rPr>
              <w:t>Uncontrolled cohort</w:t>
            </w:r>
          </w:p>
          <w:p w14:paraId="02724425" w14:textId="2328FAE0" w:rsidR="005711A7" w:rsidRPr="00AC03F2" w:rsidRDefault="005711A7">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r>
              <w:rPr>
                <w:rFonts w:ascii="Aptos" w:hAnsi="Aptos"/>
                <w:color w:val="000000"/>
                <w:sz w:val="22"/>
                <w:lang w:val="en-US"/>
              </w:rPr>
              <w:t>B</w:t>
            </w:r>
            <w:r w:rsidRPr="006634E5">
              <w:rPr>
                <w:rFonts w:ascii="Aptos" w:hAnsi="Aptos"/>
                <w:color w:val="000000"/>
                <w:sz w:val="22"/>
                <w:lang w:val="en-US"/>
              </w:rPr>
              <w:t>efore-and-after study</w:t>
            </w:r>
          </w:p>
        </w:tc>
        <w:tc>
          <w:tcPr>
            <w:tcW w:w="1423" w:type="dxa"/>
          </w:tcPr>
          <w:p w14:paraId="74ACDF82"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color w:val="000000"/>
                <w:sz w:val="22"/>
                <w:lang w:val="en-US"/>
              </w:rPr>
            </w:pPr>
            <w:r w:rsidRPr="00AC03F2">
              <w:rPr>
                <w:rFonts w:ascii="Aptos" w:hAnsi="Aptos"/>
                <w:color w:val="000000"/>
                <w:sz w:val="22"/>
                <w:lang w:val="en-US"/>
              </w:rPr>
              <w:t>N=115</w:t>
            </w:r>
          </w:p>
          <w:p w14:paraId="2707748B" w14:textId="070D898D"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color w:val="000000" w:themeColor="text1"/>
                <w:sz w:val="22"/>
                <w:lang w:val="en-US"/>
              </w:rPr>
            </w:pPr>
            <w:r w:rsidRPr="00AC03F2">
              <w:rPr>
                <w:rFonts w:ascii="Aptos" w:hAnsi="Aptos"/>
                <w:sz w:val="22"/>
                <w:lang w:val="en-US"/>
              </w:rPr>
              <w:br/>
            </w:r>
            <w:r w:rsidR="000629C3">
              <w:rPr>
                <w:rFonts w:ascii="Aptos" w:hAnsi="Aptos"/>
                <w:color w:val="000000" w:themeColor="text1"/>
                <w:sz w:val="22"/>
                <w:lang w:val="en-US"/>
              </w:rPr>
              <w:t>A</w:t>
            </w:r>
            <w:r w:rsidR="000629C3" w:rsidRPr="00AC03F2">
              <w:rPr>
                <w:rFonts w:ascii="Aptos" w:hAnsi="Aptos"/>
                <w:color w:val="000000" w:themeColor="text1"/>
                <w:sz w:val="22"/>
                <w:lang w:val="en-US"/>
              </w:rPr>
              <w:t xml:space="preserve">ged </w:t>
            </w:r>
            <w:r w:rsidRPr="00AC03F2">
              <w:rPr>
                <w:rFonts w:ascii="Aptos" w:hAnsi="Aptos"/>
                <w:color w:val="000000" w:themeColor="text1"/>
                <w:sz w:val="22"/>
                <w:lang w:val="en-US"/>
              </w:rPr>
              <w:t xml:space="preserve">65-94 </w:t>
            </w:r>
          </w:p>
        </w:tc>
        <w:tc>
          <w:tcPr>
            <w:tcW w:w="2370" w:type="dxa"/>
          </w:tcPr>
          <w:p w14:paraId="640EBBB4" w14:textId="77777777" w:rsidR="0031733B" w:rsidRPr="00D022AC" w:rsidRDefault="0031733B">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D022AC">
              <w:rPr>
                <w:rFonts w:ascii="Aptos" w:hAnsi="Aptos"/>
                <w:sz w:val="22"/>
                <w:lang w:val="en-US"/>
              </w:rPr>
              <w:t xml:space="preserve">Outcome category: 2 </w:t>
            </w:r>
          </w:p>
          <w:p w14:paraId="2443E5F9" w14:textId="77777777" w:rsidR="0031733B" w:rsidRPr="00AC03F2" w:rsidRDefault="0031733B">
            <w:pPr>
              <w:cnfStyle w:val="000000000000" w:firstRow="0" w:lastRow="0" w:firstColumn="0" w:lastColumn="0" w:oddVBand="0" w:evenVBand="0" w:oddHBand="0" w:evenHBand="0" w:firstRowFirstColumn="0" w:firstRowLastColumn="0" w:lastRowFirstColumn="0" w:lastRowLastColumn="0"/>
              <w:rPr>
                <w:rFonts w:ascii="Aptos" w:hAnsi="Aptos"/>
                <w:b/>
                <w:bCs/>
                <w:color w:val="A02B93"/>
                <w:sz w:val="22"/>
                <w:lang w:val="en-US"/>
              </w:rPr>
            </w:pPr>
            <w:r w:rsidRPr="00AC03F2">
              <w:rPr>
                <w:rFonts w:ascii="Aptos" w:hAnsi="Aptos"/>
                <w:sz w:val="22"/>
                <w:lang w:val="en-US"/>
              </w:rPr>
              <w:t>Psychological wellbeing, impact from SP</w:t>
            </w:r>
            <w:r w:rsidRPr="00AC03F2">
              <w:rPr>
                <w:rFonts w:ascii="Aptos" w:hAnsi="Aptos"/>
                <w:color w:val="000000"/>
                <w:sz w:val="22"/>
                <w:lang w:val="en-US"/>
              </w:rPr>
              <w:br/>
              <w:t>-art</w:t>
            </w:r>
            <w:r w:rsidRPr="00AC03F2">
              <w:rPr>
                <w:rFonts w:ascii="Aptos" w:hAnsi="Aptos"/>
                <w:color w:val="000000"/>
                <w:sz w:val="22"/>
                <w:lang w:val="en-US"/>
              </w:rPr>
              <w:br/>
            </w:r>
            <w:r w:rsidRPr="00AC03F2">
              <w:rPr>
                <w:rFonts w:ascii="Aptos" w:hAnsi="Aptos"/>
                <w:color w:val="000000"/>
                <w:sz w:val="22"/>
                <w:lang w:val="en-US"/>
              </w:rPr>
              <w:br/>
              <w:t>Museums can be instrumental in offering museum-based programs for older adults to improve psychological wellbeing over time.</w:t>
            </w:r>
          </w:p>
        </w:tc>
      </w:tr>
      <w:tr w:rsidR="005A7EF6" w:rsidRPr="00CA1696" w14:paraId="3429C404" w14:textId="77777777" w:rsidTr="005A7EF6">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922" w:type="dxa"/>
          </w:tcPr>
          <w:p w14:paraId="5FA5EA0B" w14:textId="77777777" w:rsidR="0031733B" w:rsidRPr="00AC03F2" w:rsidRDefault="0031733B">
            <w:pPr>
              <w:rPr>
                <w:rFonts w:ascii="Aptos" w:hAnsi="Aptos"/>
                <w:b w:val="0"/>
                <w:bCs w:val="0"/>
                <w:sz w:val="22"/>
                <w:lang w:val="en-GB"/>
              </w:rPr>
            </w:pPr>
            <w:proofErr w:type="spellStart"/>
            <w:r w:rsidRPr="00AC03F2">
              <w:rPr>
                <w:rFonts w:ascii="Aptos" w:hAnsi="Aptos"/>
                <w:b w:val="0"/>
                <w:bCs w:val="0"/>
                <w:sz w:val="22"/>
                <w:lang w:val="en-GB"/>
              </w:rPr>
              <w:t>Vogelpoel</w:t>
            </w:r>
            <w:proofErr w:type="spellEnd"/>
            <w:r w:rsidRPr="00AC03F2">
              <w:rPr>
                <w:rFonts w:ascii="Aptos" w:hAnsi="Aptos"/>
                <w:b w:val="0"/>
                <w:bCs w:val="0"/>
                <w:sz w:val="22"/>
                <w:lang w:val="en-GB"/>
              </w:rPr>
              <w:t xml:space="preserve"> et al.</w:t>
            </w:r>
          </w:p>
          <w:p w14:paraId="7B108F78" w14:textId="77777777" w:rsidR="0031733B" w:rsidRPr="00AC03F2" w:rsidRDefault="0031733B">
            <w:pPr>
              <w:rPr>
                <w:rFonts w:ascii="Aptos" w:hAnsi="Aptos"/>
                <w:b w:val="0"/>
                <w:bCs w:val="0"/>
                <w:sz w:val="22"/>
                <w:lang w:val="en-GB"/>
              </w:rPr>
            </w:pPr>
            <w:r w:rsidRPr="00AC03F2">
              <w:rPr>
                <w:rFonts w:ascii="Aptos" w:hAnsi="Aptos"/>
                <w:b w:val="0"/>
                <w:bCs w:val="0"/>
                <w:sz w:val="22"/>
                <w:lang w:val="en-GB"/>
              </w:rPr>
              <w:t>2014</w:t>
            </w:r>
          </w:p>
          <w:p w14:paraId="455CE8E0" w14:textId="77777777" w:rsidR="0031733B" w:rsidRPr="00AC03F2" w:rsidRDefault="0031733B">
            <w:pPr>
              <w:rPr>
                <w:rFonts w:ascii="Aptos" w:hAnsi="Aptos"/>
                <w:b w:val="0"/>
                <w:bCs w:val="0"/>
                <w:sz w:val="22"/>
                <w:lang w:val="en-GB"/>
              </w:rPr>
            </w:pPr>
            <w:r w:rsidRPr="00AC03F2">
              <w:rPr>
                <w:rFonts w:ascii="Aptos" w:hAnsi="Aptos"/>
                <w:b w:val="0"/>
                <w:bCs w:val="0"/>
                <w:sz w:val="22"/>
                <w:lang w:val="en-GB"/>
              </w:rPr>
              <w:t>UK</w:t>
            </w:r>
          </w:p>
          <w:p w14:paraId="185EC400" w14:textId="6FF79404" w:rsidR="0031733B" w:rsidRPr="00AC03F2" w:rsidRDefault="0031733B">
            <w:pPr>
              <w:rPr>
                <w:rFonts w:ascii="Aptos" w:hAnsi="Aptos"/>
                <w:b w:val="0"/>
                <w:bCs w:val="0"/>
                <w:sz w:val="22"/>
                <w:lang w:val="en-GB"/>
              </w:rPr>
            </w:pPr>
            <w:r w:rsidRPr="00AC03F2">
              <w:rPr>
                <w:rFonts w:ascii="Aptos" w:hAnsi="Aptos"/>
                <w:b w:val="0"/>
                <w:bCs w:val="0"/>
                <w:noProof/>
                <w:sz w:val="22"/>
                <w:lang w:val="en-GB"/>
              </w:rPr>
              <w:t>[1</w:t>
            </w:r>
            <w:r w:rsidR="00E85305">
              <w:rPr>
                <w:rFonts w:ascii="Aptos" w:hAnsi="Aptos"/>
                <w:b w:val="0"/>
                <w:bCs w:val="0"/>
                <w:noProof/>
                <w:sz w:val="22"/>
                <w:lang w:val="en-GB"/>
              </w:rPr>
              <w:t>3</w:t>
            </w:r>
            <w:r w:rsidRPr="00AC03F2">
              <w:rPr>
                <w:rFonts w:ascii="Aptos" w:hAnsi="Aptos"/>
                <w:b w:val="0"/>
                <w:bCs w:val="0"/>
                <w:noProof/>
                <w:sz w:val="22"/>
                <w:lang w:val="en-GB"/>
              </w:rPr>
              <w:t>]</w:t>
            </w:r>
          </w:p>
          <w:p w14:paraId="0691F9B0" w14:textId="77777777" w:rsidR="0031733B" w:rsidRPr="00AC03F2" w:rsidRDefault="0031733B">
            <w:pPr>
              <w:rPr>
                <w:rFonts w:ascii="Aptos" w:hAnsi="Aptos"/>
                <w:b w:val="0"/>
                <w:bCs w:val="0"/>
                <w:sz w:val="22"/>
                <w:lang w:val="en-GB"/>
              </w:rPr>
            </w:pPr>
          </w:p>
          <w:p w14:paraId="29248591" w14:textId="77777777" w:rsidR="0031733B" w:rsidRPr="00AC03F2" w:rsidRDefault="0031733B">
            <w:pPr>
              <w:rPr>
                <w:rFonts w:ascii="Aptos" w:hAnsi="Aptos"/>
                <w:b w:val="0"/>
                <w:bCs w:val="0"/>
                <w:sz w:val="22"/>
                <w:lang w:val="en-GB"/>
              </w:rPr>
            </w:pPr>
            <w:r w:rsidRPr="00AC03F2">
              <w:rPr>
                <w:rFonts w:ascii="Aptos" w:hAnsi="Aptos"/>
                <w:b w:val="0"/>
                <w:bCs w:val="0"/>
                <w:sz w:val="22"/>
                <w:lang w:val="en-GB"/>
              </w:rPr>
              <w:t>Included in systematic review by Percival et al.</w:t>
            </w:r>
          </w:p>
        </w:tc>
        <w:tc>
          <w:tcPr>
            <w:tcW w:w="1770" w:type="dxa"/>
          </w:tcPr>
          <w:p w14:paraId="7924E117"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sidRPr="00AC03F2">
              <w:rPr>
                <w:rFonts w:ascii="Aptos" w:hAnsi="Aptos"/>
                <w:color w:val="000000"/>
                <w:sz w:val="22"/>
                <w:lang w:val="en-US"/>
              </w:rPr>
              <w:t>The purpose of this paper is to describe the benefits of a social prescribing service for older people with sensory impairments experiencing social isolation.</w:t>
            </w:r>
          </w:p>
          <w:p w14:paraId="16DC3242"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p>
        </w:tc>
        <w:tc>
          <w:tcPr>
            <w:tcW w:w="1577" w:type="dxa"/>
          </w:tcPr>
          <w:p w14:paraId="1880CE0B"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rPr>
            </w:pPr>
            <w:r w:rsidRPr="00AC03F2">
              <w:rPr>
                <w:rFonts w:ascii="Aptos" w:hAnsi="Aptos"/>
                <w:color w:val="000000"/>
                <w:sz w:val="22"/>
              </w:rPr>
              <w:t>Mixed-</w:t>
            </w:r>
            <w:proofErr w:type="spellStart"/>
            <w:r w:rsidRPr="00AC03F2">
              <w:rPr>
                <w:rFonts w:ascii="Aptos" w:hAnsi="Aptos"/>
                <w:color w:val="000000"/>
                <w:sz w:val="22"/>
              </w:rPr>
              <w:t>method</w:t>
            </w:r>
            <w:proofErr w:type="spellEnd"/>
          </w:p>
          <w:p w14:paraId="206D3B17"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p>
        </w:tc>
        <w:tc>
          <w:tcPr>
            <w:tcW w:w="1423" w:type="dxa"/>
          </w:tcPr>
          <w:p w14:paraId="19809296"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sidRPr="00AC03F2">
              <w:rPr>
                <w:rFonts w:ascii="Aptos" w:hAnsi="Aptos"/>
                <w:color w:val="000000"/>
                <w:sz w:val="22"/>
                <w:lang w:val="en-US"/>
              </w:rPr>
              <w:t>N=12</w:t>
            </w:r>
          </w:p>
          <w:p w14:paraId="748444ED" w14:textId="51088615"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r w:rsidRPr="00AC03F2">
              <w:rPr>
                <w:rFonts w:ascii="Aptos" w:hAnsi="Aptos"/>
                <w:color w:val="000000"/>
                <w:sz w:val="22"/>
                <w:lang w:val="en-US"/>
              </w:rPr>
              <w:t>Age from 61 to 95 years</w:t>
            </w:r>
            <w:r w:rsidRPr="00AC03F2">
              <w:rPr>
                <w:rFonts w:ascii="Aptos" w:hAnsi="Aptos"/>
                <w:color w:val="000000"/>
                <w:sz w:val="22"/>
                <w:lang w:val="en-US"/>
              </w:rPr>
              <w:br/>
            </w:r>
          </w:p>
          <w:p w14:paraId="11554065"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000000"/>
                <w:sz w:val="22"/>
                <w:lang w:val="en-US"/>
              </w:rPr>
            </w:pPr>
          </w:p>
        </w:tc>
        <w:tc>
          <w:tcPr>
            <w:tcW w:w="2370" w:type="dxa"/>
          </w:tcPr>
          <w:p w14:paraId="0E9425C1"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AC03F2">
              <w:rPr>
                <w:rFonts w:ascii="Aptos" w:hAnsi="Aptos"/>
                <w:sz w:val="22"/>
                <w:lang w:val="en-US"/>
              </w:rPr>
              <w:t>Outcome category: 2</w:t>
            </w:r>
          </w:p>
          <w:p w14:paraId="16C2BCE5"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AC03F2">
              <w:rPr>
                <w:rFonts w:ascii="Aptos" w:hAnsi="Aptos"/>
                <w:sz w:val="22"/>
                <w:lang w:val="en-US"/>
              </w:rPr>
              <w:t>Experiences from SP</w:t>
            </w:r>
          </w:p>
          <w:p w14:paraId="47D56C9E"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AC03F2">
              <w:rPr>
                <w:rFonts w:ascii="Aptos" w:hAnsi="Aptos"/>
                <w:sz w:val="22"/>
                <w:lang w:val="en-US"/>
              </w:rPr>
              <w:t>-art</w:t>
            </w:r>
          </w:p>
          <w:p w14:paraId="6C0C6B5A"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AC03F2">
              <w:rPr>
                <w:rFonts w:ascii="Aptos" w:hAnsi="Aptos"/>
                <w:sz w:val="22"/>
                <w:lang w:val="en-US"/>
              </w:rPr>
              <w:t xml:space="preserve">Participatory in arts </w:t>
            </w:r>
            <w:proofErr w:type="spellStart"/>
            <w:r w:rsidRPr="00AC03F2">
              <w:rPr>
                <w:rFonts w:ascii="Aptos" w:hAnsi="Aptos"/>
                <w:sz w:val="22"/>
                <w:lang w:val="en-US"/>
              </w:rPr>
              <w:t>programmes</w:t>
            </w:r>
            <w:proofErr w:type="spellEnd"/>
            <w:r w:rsidRPr="00AC03F2">
              <w:rPr>
                <w:rFonts w:ascii="Aptos" w:hAnsi="Aptos"/>
                <w:sz w:val="22"/>
                <w:lang w:val="en-US"/>
              </w:rPr>
              <w:t xml:space="preserve"> can help combat social isolation</w:t>
            </w:r>
          </w:p>
          <w:p w14:paraId="337F4293" w14:textId="77777777" w:rsidR="0031733B" w:rsidRPr="00AC03F2" w:rsidRDefault="0031733B">
            <w:pPr>
              <w:cnfStyle w:val="000000100000" w:firstRow="0" w:lastRow="0" w:firstColumn="0" w:lastColumn="0" w:oddVBand="0" w:evenVBand="0" w:oddHBand="1" w:evenHBand="0" w:firstRowFirstColumn="0" w:firstRowLastColumn="0" w:lastRowFirstColumn="0" w:lastRowLastColumn="0"/>
              <w:rPr>
                <w:rFonts w:ascii="Aptos" w:hAnsi="Aptos"/>
                <w:color w:val="A02B93"/>
                <w:sz w:val="22"/>
                <w:lang w:val="en-US"/>
              </w:rPr>
            </w:pPr>
            <w:r w:rsidRPr="00AC03F2">
              <w:rPr>
                <w:rFonts w:ascii="Aptos" w:hAnsi="Aptos"/>
                <w:sz w:val="22"/>
                <w:lang w:val="en-US"/>
              </w:rPr>
              <w:t>increased self-confidence, new friendships, increased mental wellbeing.</w:t>
            </w:r>
          </w:p>
        </w:tc>
      </w:tr>
    </w:tbl>
    <w:p w14:paraId="41519349" w14:textId="77777777" w:rsidR="0031733B" w:rsidRDefault="0031733B" w:rsidP="0031733B">
      <w:pPr>
        <w:rPr>
          <w:lang w:val="en-US"/>
        </w:rPr>
      </w:pPr>
    </w:p>
    <w:p w14:paraId="718C3C72" w14:textId="47787371" w:rsidR="0031733B" w:rsidRPr="00856A6B" w:rsidRDefault="00C51744" w:rsidP="0031733B">
      <w:pPr>
        <w:pStyle w:val="Rubrik2"/>
        <w:rPr>
          <w:lang w:val="en-US"/>
        </w:rPr>
      </w:pPr>
      <w:proofErr w:type="spellStart"/>
      <w:r>
        <w:rPr>
          <w:lang w:val="en-US"/>
        </w:rPr>
        <w:t>Referenser</w:t>
      </w:r>
      <w:proofErr w:type="spellEnd"/>
    </w:p>
    <w:p w14:paraId="7B723025" w14:textId="77777777" w:rsidR="0031733B" w:rsidRPr="004E5969" w:rsidRDefault="0031733B" w:rsidP="0031733B">
      <w:pPr>
        <w:pStyle w:val="EndNoteBibliography"/>
        <w:spacing w:after="0"/>
        <w:ind w:left="720" w:hanging="720"/>
      </w:pPr>
      <w:r w:rsidRPr="004E5969">
        <w:t>1.</w:t>
      </w:r>
      <w:r w:rsidRPr="004E5969">
        <w:tab/>
        <w:t xml:space="preserve">Costa A, Henriques J, Alarcão V, Madeira T, Virgolino A, Henriques A, et al. Social prescribing for older adults in mainland Portugal: Perceptions and future prospects. Prev Med Rep. 2024;39:102652. Available from: </w:t>
      </w:r>
      <w:r w:rsidRPr="00B00B88">
        <w:t>https://doi.org/10.1016/j.pmedr.2024.102652</w:t>
      </w:r>
    </w:p>
    <w:p w14:paraId="3AA485D0" w14:textId="2C1A3FA0" w:rsidR="0031733B" w:rsidRPr="004E5969" w:rsidRDefault="0031733B" w:rsidP="0031733B">
      <w:pPr>
        <w:pStyle w:val="EndNoteBibliography"/>
        <w:spacing w:after="0"/>
        <w:ind w:left="720" w:hanging="720"/>
      </w:pPr>
      <w:r w:rsidRPr="004E5969">
        <w:t>2.</w:t>
      </w:r>
      <w:r w:rsidRPr="004E5969">
        <w:tab/>
        <w:t xml:space="preserve">Elston J, Gradinger F, Asthana S, Lilley-Woolnough C, Wroe S, Harman H, et al. Does a social prescribing 'holistic' link-worker for older people with complex, multimorbidity improve well-being and frailty and reduce health and social care use and costs? A 12-month before-and-after evaluation. Prim Health Care Res Dev. 2019;20:e135. Available from: </w:t>
      </w:r>
      <w:r w:rsidRPr="00B00B88">
        <w:t>https://doi.org/10.1017/s1463423619000598</w:t>
      </w:r>
    </w:p>
    <w:p w14:paraId="54AE3FB3" w14:textId="4E068838" w:rsidR="0031733B" w:rsidRPr="004E5969" w:rsidRDefault="00E85305" w:rsidP="0031733B">
      <w:pPr>
        <w:pStyle w:val="EndNoteBibliography"/>
        <w:spacing w:after="0"/>
        <w:ind w:left="720" w:hanging="720"/>
      </w:pPr>
      <w:r>
        <w:t>3</w:t>
      </w:r>
      <w:r w:rsidR="0031733B" w:rsidRPr="004E5969">
        <w:t>.</w:t>
      </w:r>
      <w:r w:rsidR="0031733B" w:rsidRPr="004E5969">
        <w:tab/>
        <w:t xml:space="preserve">Gorenberg J, Tierney S, Wong G, Turk A, Libert S, Potter C, et al. Understanding and Improving Older People's Well-Being through Social Prescribing Involving the Cultural Sector: Interviews from a Realist Evaluation. J Appl Gerontol. 2023;42(7):1466-76. Available from: </w:t>
      </w:r>
      <w:r w:rsidR="0031733B" w:rsidRPr="00B00B88">
        <w:t>https://doi.org/10.1177/07334648231154043</w:t>
      </w:r>
    </w:p>
    <w:p w14:paraId="7D0219DF" w14:textId="29F2036F" w:rsidR="0031733B" w:rsidRPr="004E5969" w:rsidRDefault="00E85305" w:rsidP="0031733B">
      <w:pPr>
        <w:pStyle w:val="EndNoteBibliography"/>
        <w:spacing w:after="0"/>
        <w:ind w:left="720" w:hanging="720"/>
      </w:pPr>
      <w:r>
        <w:t>4</w:t>
      </w:r>
      <w:r w:rsidR="0031733B" w:rsidRPr="004E5969">
        <w:t>.</w:t>
      </w:r>
      <w:r w:rsidR="0031733B" w:rsidRPr="004E5969">
        <w:tab/>
        <w:t xml:space="preserve">Jones C, Hartfiel N, Brocklehurst P, Lynch M, Edwards RT. Social Return on Investment Analysis of the Health Precinct Community Hub for Chronic Conditions. Int J Environ Res Public Health. 2020;17(14). Available from: </w:t>
      </w:r>
      <w:r w:rsidR="0031733B" w:rsidRPr="00B00B88">
        <w:t>https://doi.org/10.3390/ijerph17145249</w:t>
      </w:r>
    </w:p>
    <w:p w14:paraId="54A7762C" w14:textId="299B2FE7" w:rsidR="0031733B" w:rsidRPr="004E5969" w:rsidRDefault="00E85305" w:rsidP="0031733B">
      <w:pPr>
        <w:pStyle w:val="EndNoteBibliography"/>
        <w:spacing w:after="0"/>
        <w:ind w:left="720" w:hanging="720"/>
      </w:pPr>
      <w:r>
        <w:lastRenderedPageBreak/>
        <w:t>5</w:t>
      </w:r>
      <w:r w:rsidR="0031733B" w:rsidRPr="004E5969">
        <w:t>.</w:t>
      </w:r>
      <w:r w:rsidR="0031733B" w:rsidRPr="004E5969">
        <w:tab/>
        <w:t xml:space="preserve">Kellezi B, Wakefield JRH, Stevenson C, McNamara N, Mair E, Bowe M, et al. The social cure of social prescribing: a mixed-methods study on the benefits of social connectedness on quality and effectiveness of care provision. BMJ Open. 2019;9(11):e033137. Available from: </w:t>
      </w:r>
      <w:r w:rsidR="0031733B" w:rsidRPr="00B00B88">
        <w:t>https://doi.org/10.1136/bmjopen-2019-033137</w:t>
      </w:r>
    </w:p>
    <w:p w14:paraId="376D610F" w14:textId="51CE667B" w:rsidR="0031733B" w:rsidRPr="004E5969" w:rsidRDefault="00E85305" w:rsidP="0031733B">
      <w:pPr>
        <w:pStyle w:val="EndNoteBibliography"/>
        <w:spacing w:after="0"/>
        <w:ind w:left="720" w:hanging="720"/>
      </w:pPr>
      <w:r>
        <w:t>6</w:t>
      </w:r>
      <w:r w:rsidR="0031733B" w:rsidRPr="004E5969">
        <w:t>.</w:t>
      </w:r>
      <w:r w:rsidR="0031733B" w:rsidRPr="004E5969">
        <w:tab/>
        <w:t xml:space="preserve">Kiely B, Connolly D, Clyne B, Boland F, O'Donnell P, Shea EO, et al. Primary care-based link workers providing social prescribing to improve health and social care outcomes for people with multimorbidity in socially deprived areas (the LinkMM trial): Pilot study for a pragmatic randomised controlled trial. Journal of Multimorbidity &amp; Comorbidity. 2021;11:1-9. Available from: </w:t>
      </w:r>
      <w:r w:rsidR="0031733B" w:rsidRPr="00B00B88">
        <w:t>https://doi.org/10.1177/26335565211017781</w:t>
      </w:r>
    </w:p>
    <w:p w14:paraId="7A314593" w14:textId="4FA42EB2" w:rsidR="0031733B" w:rsidRPr="004E5969" w:rsidRDefault="00E85305" w:rsidP="0031733B">
      <w:pPr>
        <w:pStyle w:val="EndNoteBibliography"/>
        <w:spacing w:after="0"/>
        <w:ind w:left="720" w:hanging="720"/>
      </w:pPr>
      <w:r>
        <w:t>7</w:t>
      </w:r>
      <w:r w:rsidR="0031733B" w:rsidRPr="004E5969">
        <w:t>.</w:t>
      </w:r>
      <w:r w:rsidR="0031733B" w:rsidRPr="004E5969">
        <w:tab/>
        <w:t xml:space="preserve">Loftus AM, McCauley F, McCarron MO. Impact of social prescribing on general practice workload and polypharmacy. Public Health. 2017;148:96-101. Available from: </w:t>
      </w:r>
      <w:r w:rsidR="0031733B" w:rsidRPr="00B00B88">
        <w:t>https://doi.org/10.1016/j.puhe.2017.03.010</w:t>
      </w:r>
    </w:p>
    <w:p w14:paraId="4F472365" w14:textId="699C4BBC" w:rsidR="0031733B" w:rsidRPr="004E5969" w:rsidRDefault="00E85305" w:rsidP="0031733B">
      <w:pPr>
        <w:pStyle w:val="EndNoteBibliography"/>
        <w:spacing w:after="0"/>
        <w:ind w:left="720" w:hanging="720"/>
      </w:pPr>
      <w:r>
        <w:t>8</w:t>
      </w:r>
      <w:r w:rsidR="0031733B" w:rsidRPr="004E5969">
        <w:t>.</w:t>
      </w:r>
      <w:r w:rsidR="0031733B" w:rsidRPr="004E5969">
        <w:tab/>
        <w:t xml:space="preserve">Munford LA, Panagioti M, Bower P, Skevington SM. Community asset participation and social medicine increases qualities of life. Soc Sci Med. 2020;259:113149. Available from: </w:t>
      </w:r>
      <w:r w:rsidR="0031733B" w:rsidRPr="00B00B88">
        <w:t>https://doi.org/10.1016/j.socscimed.2020.113149</w:t>
      </w:r>
    </w:p>
    <w:p w14:paraId="7725B16E" w14:textId="58542EF3" w:rsidR="0031733B" w:rsidRPr="004E5969" w:rsidRDefault="00E85305" w:rsidP="0031733B">
      <w:pPr>
        <w:pStyle w:val="EndNoteBibliography"/>
        <w:spacing w:after="0"/>
        <w:ind w:left="720" w:hanging="720"/>
      </w:pPr>
      <w:r>
        <w:t>9</w:t>
      </w:r>
      <w:r w:rsidR="0031733B" w:rsidRPr="004E5969">
        <w:t>.</w:t>
      </w:r>
      <w:r w:rsidR="0031733B" w:rsidRPr="004E5969">
        <w:tab/>
        <w:t xml:space="preserve">Orellana K, Manthorpe J, Tinker A. Day centres for older people: A systematically conducted scoping review of literature about their benefits, purposes and how they are perceived. Ageing Soc. 2020;40(1):73-104. Available from: </w:t>
      </w:r>
      <w:r w:rsidR="0031733B" w:rsidRPr="00B00B88">
        <w:t>https://doi.org/10.1017/S0144686X18000843</w:t>
      </w:r>
    </w:p>
    <w:p w14:paraId="7C14BDB2" w14:textId="0BF7EF2F" w:rsidR="0031733B" w:rsidRPr="004E5969" w:rsidRDefault="00E85305" w:rsidP="0031733B">
      <w:pPr>
        <w:pStyle w:val="EndNoteBibliography"/>
        <w:spacing w:after="0"/>
        <w:ind w:left="720" w:hanging="720"/>
      </w:pPr>
      <w:r>
        <w:t>10</w:t>
      </w:r>
      <w:r w:rsidR="0031733B" w:rsidRPr="004E5969">
        <w:t>.</w:t>
      </w:r>
      <w:r w:rsidR="0031733B" w:rsidRPr="004E5969">
        <w:tab/>
        <w:t xml:space="preserve">Poulos RG, Marwood S, Harkin D, Opher S, Clift S, Cole AMD, et al. Arts on prescription for community-dwelling older people with a range of health and wellness needs. Health Soc Care Community. 2019;27(2):483-92. Available from: </w:t>
      </w:r>
      <w:r w:rsidR="0031733B" w:rsidRPr="00B00B88">
        <w:t>https://doi.org/10.1111/hsc.12669</w:t>
      </w:r>
    </w:p>
    <w:p w14:paraId="42BE55DE" w14:textId="2293F4E7" w:rsidR="0031733B" w:rsidRPr="004E5969" w:rsidRDefault="0031733B" w:rsidP="0031733B">
      <w:pPr>
        <w:pStyle w:val="EndNoteBibliography"/>
        <w:spacing w:after="0"/>
        <w:ind w:left="720" w:hanging="720"/>
      </w:pPr>
      <w:r w:rsidRPr="004E5969">
        <w:t>1</w:t>
      </w:r>
      <w:r w:rsidR="00E85305">
        <w:t>1</w:t>
      </w:r>
      <w:r w:rsidRPr="004E5969">
        <w:t>.</w:t>
      </w:r>
      <w:r w:rsidRPr="004E5969">
        <w:tab/>
        <w:t xml:space="preserve">Porter B, Wood C, Belderson P, Manning C, Meadows R, Sanderson K, et al. We care but we're not carers: perceptions and experiences of social prescribing in a UK national community organisation. Perspect Public Health. 2023:17579139231185004. Available from: </w:t>
      </w:r>
      <w:r w:rsidRPr="00B00B88">
        <w:t>https://doi.org/10.1177/17579139231185004</w:t>
      </w:r>
    </w:p>
    <w:p w14:paraId="1AF0F766" w14:textId="738EDC96" w:rsidR="0031733B" w:rsidRPr="004E5969" w:rsidRDefault="0031733B" w:rsidP="0031733B">
      <w:pPr>
        <w:pStyle w:val="EndNoteBibliography"/>
        <w:spacing w:after="0"/>
        <w:ind w:left="720" w:hanging="720"/>
      </w:pPr>
      <w:r w:rsidRPr="004E5969">
        <w:t>1</w:t>
      </w:r>
      <w:r w:rsidR="00E85305">
        <w:t>2</w:t>
      </w:r>
      <w:r w:rsidRPr="004E5969">
        <w:t>.</w:t>
      </w:r>
      <w:r w:rsidRPr="004E5969">
        <w:tab/>
        <w:t xml:space="preserve">Thomson LJ, Lockyer B, Camic PM, Chatterjee HJ. Effects of a museum-based social prescription intervention on quantitative measures of psychological wellbeing in older adults. Perspect Public Health. 2018;138(1):28-38. Available from: </w:t>
      </w:r>
      <w:r w:rsidRPr="00B00B88">
        <w:t>https://doi.org/10.1177/1757913917737563</w:t>
      </w:r>
    </w:p>
    <w:p w14:paraId="294FBE0D" w14:textId="11C37797" w:rsidR="0031733B" w:rsidRPr="004E5969" w:rsidRDefault="0031733B" w:rsidP="0031733B">
      <w:pPr>
        <w:pStyle w:val="EndNoteBibliography"/>
        <w:ind w:left="720" w:hanging="720"/>
      </w:pPr>
      <w:r w:rsidRPr="004E5969">
        <w:t>1</w:t>
      </w:r>
      <w:r w:rsidR="00E85305">
        <w:t>3</w:t>
      </w:r>
      <w:r w:rsidRPr="004E5969">
        <w:t>.</w:t>
      </w:r>
      <w:r w:rsidRPr="004E5969">
        <w:tab/>
        <w:t xml:space="preserve">Vogelpoel N, Jarrold K. Social prescription and the role of participatory arts programmes for older people with sensory impairments. Journal of Integrated Care. 2014;22(2):39-50. Available from: </w:t>
      </w:r>
      <w:r w:rsidRPr="00B00B88">
        <w:t>https://doi.org/10.1108/jica-01-2014-0002</w:t>
      </w:r>
    </w:p>
    <w:p w14:paraId="17843BD3" w14:textId="77777777" w:rsidR="003D0238" w:rsidRPr="0031733B" w:rsidRDefault="003D0238" w:rsidP="003D0238">
      <w:pPr>
        <w:tabs>
          <w:tab w:val="left" w:pos="8028"/>
        </w:tabs>
        <w:rPr>
          <w:sz w:val="2"/>
          <w:szCs w:val="2"/>
          <w:lang w:val="en-GB"/>
        </w:rPr>
      </w:pPr>
      <w:r w:rsidRPr="0031733B">
        <w:rPr>
          <w:sz w:val="2"/>
          <w:szCs w:val="2"/>
          <w:lang w:val="en-GB"/>
        </w:rPr>
        <w:tab/>
      </w:r>
    </w:p>
    <w:p w14:paraId="46F7D85B" w14:textId="77777777" w:rsidR="003D0238" w:rsidRPr="0031733B" w:rsidRDefault="003D0238" w:rsidP="003D0238">
      <w:pPr>
        <w:rPr>
          <w:sz w:val="2"/>
          <w:szCs w:val="2"/>
          <w:lang w:val="en-GB"/>
        </w:rPr>
      </w:pPr>
    </w:p>
    <w:sectPr w:rsidR="003D0238" w:rsidRPr="0031733B" w:rsidSect="0016055F">
      <w:headerReference w:type="default" r:id="rId15"/>
      <w:headerReference w:type="first" r:id="rId16"/>
      <w:footerReference w:type="first" r:id="rId17"/>
      <w:pgSz w:w="11906" w:h="16838"/>
      <w:pgMar w:top="1985"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llemor Dimberg" w:date="2025-04-28T11:33:00Z" w:initials="LD">
    <w:p w14:paraId="302552E6" w14:textId="1E193A99" w:rsidR="0031733B" w:rsidRDefault="0031733B" w:rsidP="0031733B">
      <w:pPr>
        <w:pStyle w:val="Kommentarer"/>
      </w:pPr>
      <w:r>
        <w:rPr>
          <w:rStyle w:val="Kommentarsreferens"/>
        </w:rPr>
        <w:annotationRef/>
      </w:r>
      <w:r>
        <w:rPr>
          <w:color w:val="2D374B"/>
          <w:highlight w:val="white"/>
        </w:rPr>
        <w:t>Loftus 2017</w:t>
      </w:r>
    </w:p>
    <w:p w14:paraId="22EA0DD5" w14:textId="77777777" w:rsidR="0031733B" w:rsidRDefault="0031733B" w:rsidP="0031733B">
      <w:pPr>
        <w:pStyle w:val="Kommentarer"/>
      </w:pPr>
      <w:r>
        <w:rPr>
          <w:color w:val="2D374B"/>
          <w:highlight w:val="white"/>
        </w:rPr>
        <w:t>Impact of social prescribing on general practice workload and polypharmacy</w:t>
      </w:r>
    </w:p>
    <w:p w14:paraId="08217AC6" w14:textId="77777777" w:rsidR="0031733B" w:rsidRDefault="0031733B" w:rsidP="0031733B">
      <w:pPr>
        <w:pStyle w:val="Kommentarer"/>
      </w:pPr>
      <w:r>
        <w:rPr>
          <w:color w:val="757575"/>
          <w:highlight w:val="white"/>
        </w:rPr>
        <w:t>Loftus, A. M.; McCauley, F.; McCarron, M. O.</w:t>
      </w:r>
    </w:p>
    <w:p w14:paraId="076FC1F8" w14:textId="77777777" w:rsidR="0031733B" w:rsidRDefault="0031733B" w:rsidP="0031733B">
      <w:pPr>
        <w:pStyle w:val="Kommentarer"/>
      </w:pPr>
      <w:r>
        <w:rPr>
          <w:color w:val="757575"/>
          <w:highlight w:val="white"/>
        </w:rPr>
        <w:t>Public Health 2017;148():96-101</w:t>
      </w:r>
    </w:p>
    <w:p w14:paraId="6570F7DF" w14:textId="77777777" w:rsidR="0031733B" w:rsidRDefault="0031733B" w:rsidP="0031733B">
      <w:pPr>
        <w:pStyle w:val="Kommentarer"/>
      </w:pPr>
      <w:r>
        <w:rPr>
          <w:color w:val="757575"/>
          <w:highlight w:val="white"/>
        </w:rPr>
        <w:t>2017</w:t>
      </w:r>
    </w:p>
    <w:p w14:paraId="39E2095E" w14:textId="77777777" w:rsidR="0031733B" w:rsidRDefault="0031733B" w:rsidP="0031733B">
      <w:pPr>
        <w:pStyle w:val="Kommentarer"/>
      </w:pPr>
      <w:r>
        <w:rPr>
          <w:color w:val="757575"/>
          <w:highlight w:val="white"/>
        </w:rPr>
        <w:t>DOI: </w:t>
      </w:r>
      <w:hyperlink r:id="rId1" w:history="1">
        <w:r w:rsidRPr="00913535">
          <w:rPr>
            <w:rStyle w:val="Hyperlnk"/>
            <w:highlight w:val="white"/>
          </w:rPr>
          <w:t>10.1016/j.puhe.2017.03.010</w:t>
        </w:r>
      </w:hyperlink>
    </w:p>
    <w:p w14:paraId="2F8E2F72" w14:textId="77777777" w:rsidR="0031733B" w:rsidRDefault="0031733B" w:rsidP="0031733B">
      <w:pPr>
        <w:pStyle w:val="Kommentarer"/>
      </w:pPr>
    </w:p>
    <w:p w14:paraId="7CBEE926" w14:textId="77777777" w:rsidR="0031733B" w:rsidRDefault="0031733B" w:rsidP="0031733B">
      <w:pPr>
        <w:pStyle w:val="Kommentare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BEE9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81D8C5" w16cex:dateUtc="2025-04-28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BEE926" w16cid:durableId="5381D8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5A554" w14:textId="77777777" w:rsidR="008C7521" w:rsidRDefault="008C7521" w:rsidP="009164B5">
      <w:pPr>
        <w:spacing w:after="0"/>
      </w:pPr>
      <w:r>
        <w:separator/>
      </w:r>
    </w:p>
  </w:endnote>
  <w:endnote w:type="continuationSeparator" w:id="0">
    <w:p w14:paraId="3AA04B31" w14:textId="77777777" w:rsidR="008C7521" w:rsidRDefault="008C7521" w:rsidP="009164B5">
      <w:pPr>
        <w:spacing w:after="0"/>
      </w:pPr>
      <w:r>
        <w:continuationSeparator/>
      </w:r>
    </w:p>
  </w:endnote>
  <w:endnote w:type="continuationNotice" w:id="1">
    <w:p w14:paraId="44D896CD" w14:textId="77777777" w:rsidR="008C7521" w:rsidRDefault="008C75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2"/>
      <w:tblW w:w="8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0"/>
    </w:tblGrid>
    <w:tr w:rsidR="0016055F" w:rsidRPr="009164B5" w14:paraId="32CB7E36" w14:textId="77777777">
      <w:tc>
        <w:tcPr>
          <w:tcW w:w="8510" w:type="dxa"/>
        </w:tcPr>
        <w:p w14:paraId="4E51CA52" w14:textId="77777777" w:rsidR="0016055F" w:rsidRPr="009164B5" w:rsidRDefault="0016055F" w:rsidP="0016055F">
          <w:pPr>
            <w:ind w:right="-1134"/>
            <w:rPr>
              <w:rFonts w:ascii="Calibri" w:eastAsia="Times New Roman" w:hAnsi="Calibri" w:cs="Times New Roman"/>
              <w:sz w:val="18"/>
            </w:rPr>
          </w:pPr>
        </w:p>
      </w:tc>
    </w:tr>
  </w:tbl>
  <w:p w14:paraId="43B5AFF7" w14:textId="77777777" w:rsidR="0016055F" w:rsidRPr="007C1505" w:rsidRDefault="0016055F" w:rsidP="007C1505">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9B61" w14:textId="77777777" w:rsidR="008C7521" w:rsidRDefault="008C7521" w:rsidP="009164B5">
      <w:pPr>
        <w:spacing w:after="0"/>
      </w:pPr>
      <w:r>
        <w:separator/>
      </w:r>
    </w:p>
  </w:footnote>
  <w:footnote w:type="continuationSeparator" w:id="0">
    <w:p w14:paraId="364226E9" w14:textId="77777777" w:rsidR="008C7521" w:rsidRDefault="008C7521" w:rsidP="009164B5">
      <w:pPr>
        <w:spacing w:after="0"/>
      </w:pPr>
      <w:r>
        <w:continuationSeparator/>
      </w:r>
    </w:p>
  </w:footnote>
  <w:footnote w:type="continuationNotice" w:id="1">
    <w:p w14:paraId="59C0D10D" w14:textId="77777777" w:rsidR="008C7521" w:rsidRDefault="008C75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4450"/>
      <w:gridCol w:w="4061"/>
      <w:gridCol w:w="692"/>
    </w:tblGrid>
    <w:tr w:rsidR="0016055F" w:rsidRPr="009164B5" w14:paraId="50B2CA38" w14:textId="77777777">
      <w:tc>
        <w:tcPr>
          <w:tcW w:w="4450" w:type="dxa"/>
        </w:tcPr>
        <w:p w14:paraId="4755144D" w14:textId="77777777" w:rsidR="0016055F" w:rsidRPr="009164B5" w:rsidRDefault="0016055F" w:rsidP="009164B5">
          <w:pPr>
            <w:rPr>
              <w:rFonts w:ascii="Calibri" w:eastAsia="Times New Roman" w:hAnsi="Calibri" w:cs="Times New Roman"/>
              <w:sz w:val="18"/>
            </w:rPr>
          </w:pPr>
          <w:bookmarkStart w:id="1" w:name="bkmLogo1True"/>
          <w:bookmarkEnd w:id="1"/>
        </w:p>
      </w:tc>
      <w:tc>
        <w:tcPr>
          <w:tcW w:w="4061" w:type="dxa"/>
        </w:tcPr>
        <w:p w14:paraId="25F8ADF5" w14:textId="77777777" w:rsidR="0016055F" w:rsidRPr="009164B5" w:rsidRDefault="0016055F" w:rsidP="009164B5">
          <w:pPr>
            <w:keepNext/>
            <w:spacing w:before="60"/>
            <w:rPr>
              <w:rFonts w:ascii="Calibri" w:eastAsia="Times New Roman" w:hAnsi="Calibri" w:cs="Times New Roman"/>
              <w:b/>
              <w:kern w:val="32"/>
              <w:sz w:val="32"/>
              <w:szCs w:val="52"/>
            </w:rPr>
          </w:pPr>
          <w:bookmarkStart w:id="2" w:name="bkmDocName"/>
          <w:bookmarkEnd w:id="2"/>
        </w:p>
      </w:tc>
      <w:tc>
        <w:tcPr>
          <w:tcW w:w="692" w:type="dxa"/>
        </w:tcPr>
        <w:p w14:paraId="50365DA1" w14:textId="7169418F" w:rsidR="0016055F" w:rsidRPr="009164B5" w:rsidRDefault="0016055F" w:rsidP="009164B5">
          <w:pPr>
            <w:spacing w:before="160"/>
            <w:jc w:val="right"/>
            <w:rPr>
              <w:rFonts w:ascii="Times New Roman" w:eastAsia="Times New Roman" w:hAnsi="Times New Roman" w:cs="Times New Roman"/>
            </w:rPr>
          </w:pPr>
          <w:r w:rsidRPr="009164B5">
            <w:rPr>
              <w:rFonts w:ascii="Times New Roman" w:eastAsia="Times New Roman" w:hAnsi="Times New Roman" w:cs="Times New Roman"/>
            </w:rPr>
            <w:fldChar w:fldCharType="begin"/>
          </w:r>
          <w:r w:rsidRPr="009164B5">
            <w:rPr>
              <w:rFonts w:ascii="Times New Roman" w:eastAsia="Times New Roman" w:hAnsi="Times New Roman" w:cs="Times New Roman"/>
            </w:rPr>
            <w:instrText>PAGE   \* MERGEFORMAT</w:instrText>
          </w:r>
          <w:r w:rsidRPr="009164B5">
            <w:rPr>
              <w:rFonts w:ascii="Times New Roman" w:eastAsia="Times New Roman" w:hAnsi="Times New Roman" w:cs="Times New Roman"/>
            </w:rPr>
            <w:fldChar w:fldCharType="separate"/>
          </w:r>
          <w:r w:rsidR="00B94B5C">
            <w:rPr>
              <w:rFonts w:ascii="Times New Roman" w:eastAsia="Times New Roman" w:hAnsi="Times New Roman" w:cs="Times New Roman"/>
              <w:noProof/>
            </w:rPr>
            <w:t>2</w:t>
          </w:r>
          <w:r w:rsidRPr="009164B5">
            <w:rPr>
              <w:rFonts w:ascii="Times New Roman" w:eastAsia="Times New Roman" w:hAnsi="Times New Roman" w:cs="Times New Roman"/>
            </w:rPr>
            <w:fldChar w:fldCharType="end"/>
          </w:r>
          <w:r w:rsidRPr="009164B5">
            <w:rPr>
              <w:rFonts w:ascii="Times New Roman" w:eastAsia="Times New Roman" w:hAnsi="Times New Roman" w:cs="Times New Roman"/>
            </w:rPr>
            <w:t>(</w:t>
          </w:r>
          <w:r w:rsidRPr="009164B5">
            <w:rPr>
              <w:rFonts w:ascii="Times New Roman" w:eastAsia="Times New Roman" w:hAnsi="Times New Roman" w:cs="Times New Roman"/>
            </w:rPr>
            <w:fldChar w:fldCharType="begin"/>
          </w:r>
          <w:r w:rsidRPr="009164B5">
            <w:rPr>
              <w:rFonts w:ascii="Times New Roman" w:eastAsia="Times New Roman" w:hAnsi="Times New Roman" w:cs="Times New Roman"/>
            </w:rPr>
            <w:instrText xml:space="preserve"> NUMPAGES   \* MERGEFORMAT </w:instrText>
          </w:r>
          <w:r w:rsidRPr="009164B5">
            <w:rPr>
              <w:rFonts w:ascii="Times New Roman" w:eastAsia="Times New Roman" w:hAnsi="Times New Roman" w:cs="Times New Roman"/>
            </w:rPr>
            <w:fldChar w:fldCharType="separate"/>
          </w:r>
          <w:r w:rsidR="00B94B5C">
            <w:rPr>
              <w:rFonts w:ascii="Times New Roman" w:eastAsia="Times New Roman" w:hAnsi="Times New Roman" w:cs="Times New Roman"/>
              <w:noProof/>
            </w:rPr>
            <w:t>2</w:t>
          </w:r>
          <w:r w:rsidRPr="009164B5">
            <w:rPr>
              <w:rFonts w:ascii="Times New Roman" w:eastAsia="Times New Roman" w:hAnsi="Times New Roman" w:cs="Times New Roman"/>
            </w:rPr>
            <w:fldChar w:fldCharType="end"/>
          </w:r>
          <w:r w:rsidRPr="009164B5">
            <w:rPr>
              <w:rFonts w:ascii="Times New Roman" w:eastAsia="Times New Roman" w:hAnsi="Times New Roman" w:cs="Times New Roman"/>
            </w:rPr>
            <w:t>)</w:t>
          </w:r>
        </w:p>
      </w:tc>
    </w:tr>
  </w:tbl>
  <w:p w14:paraId="7604B349" w14:textId="77777777" w:rsidR="009164B5" w:rsidRPr="0016055F" w:rsidRDefault="009164B5">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4450"/>
      <w:gridCol w:w="4061"/>
      <w:gridCol w:w="692"/>
    </w:tblGrid>
    <w:tr w:rsidR="00B94B5C" w:rsidRPr="009164B5" w14:paraId="7B0837AA" w14:textId="77777777">
      <w:tc>
        <w:tcPr>
          <w:tcW w:w="4450" w:type="dxa"/>
          <w:vMerge w:val="restart"/>
        </w:tcPr>
        <w:p w14:paraId="41241B97" w14:textId="77777777" w:rsidR="00B94B5C" w:rsidRPr="009164B5" w:rsidRDefault="00AB3485" w:rsidP="0016055F">
          <w:pPr>
            <w:rPr>
              <w:rFonts w:ascii="Calibri" w:eastAsia="Times New Roman" w:hAnsi="Calibri" w:cs="Times New Roman"/>
              <w:sz w:val="18"/>
            </w:rPr>
          </w:pPr>
          <w:r>
            <w:rPr>
              <w:noProof/>
            </w:rPr>
            <w:drawing>
              <wp:inline distT="0" distB="0" distL="0" distR="0" wp14:anchorId="07ACE49D" wp14:editId="0ECB0752">
                <wp:extent cx="1836420" cy="678042"/>
                <wp:effectExtent l="0" t="0" r="0" b="8255"/>
                <wp:docPr id="1" name="Bildobjekt 1" descr="SBU: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BU:s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0106" cy="686787"/>
                        </a:xfrm>
                        <a:prstGeom prst="rect">
                          <a:avLst/>
                        </a:prstGeom>
                        <a:noFill/>
                        <a:ln>
                          <a:noFill/>
                        </a:ln>
                      </pic:spPr>
                    </pic:pic>
                  </a:graphicData>
                </a:graphic>
              </wp:inline>
            </w:drawing>
          </w:r>
        </w:p>
      </w:tc>
      <w:tc>
        <w:tcPr>
          <w:tcW w:w="4061" w:type="dxa"/>
        </w:tcPr>
        <w:p w14:paraId="214354A3" w14:textId="77777777" w:rsidR="00B94B5C" w:rsidRPr="007C1505" w:rsidRDefault="008448F8" w:rsidP="007C1505">
          <w:pPr>
            <w:pStyle w:val="RubrikSidhuvud"/>
          </w:pPr>
          <w:r>
            <w:t>Bilaga till rapport</w:t>
          </w:r>
        </w:p>
      </w:tc>
      <w:tc>
        <w:tcPr>
          <w:tcW w:w="692" w:type="dxa"/>
        </w:tcPr>
        <w:p w14:paraId="2F12B075" w14:textId="77777777" w:rsidR="00B94B5C" w:rsidRPr="009164B5" w:rsidRDefault="00B94B5C" w:rsidP="006F3DB9">
          <w:pPr>
            <w:jc w:val="right"/>
          </w:pPr>
          <w:r w:rsidRPr="009164B5">
            <w:fldChar w:fldCharType="begin"/>
          </w:r>
          <w:r w:rsidRPr="009164B5">
            <w:instrText>PAGE   \* MERGEFORMAT</w:instrText>
          </w:r>
          <w:r w:rsidRPr="009164B5">
            <w:fldChar w:fldCharType="separate"/>
          </w:r>
          <w:r w:rsidR="0035306C">
            <w:rPr>
              <w:noProof/>
            </w:rPr>
            <w:t>1</w:t>
          </w:r>
          <w:r w:rsidRPr="009164B5">
            <w:fldChar w:fldCharType="end"/>
          </w:r>
          <w:r w:rsidRPr="009164B5">
            <w:t xml:space="preserve"> (</w:t>
          </w:r>
          <w:r w:rsidR="00000000">
            <w:fldChar w:fldCharType="begin"/>
          </w:r>
          <w:r w:rsidR="00000000">
            <w:instrText xml:space="preserve"> NUMPAGES   \* MERGEFORMAT </w:instrText>
          </w:r>
          <w:r w:rsidR="00000000">
            <w:fldChar w:fldCharType="separate"/>
          </w:r>
          <w:r w:rsidR="0035306C">
            <w:rPr>
              <w:noProof/>
            </w:rPr>
            <w:t>1</w:t>
          </w:r>
          <w:r w:rsidR="00000000">
            <w:rPr>
              <w:noProof/>
            </w:rPr>
            <w:fldChar w:fldCharType="end"/>
          </w:r>
          <w:r w:rsidRPr="009164B5">
            <w:t>)</w:t>
          </w:r>
        </w:p>
      </w:tc>
    </w:tr>
    <w:tr w:rsidR="008448F8" w:rsidRPr="009164B5" w14:paraId="2619CEE1" w14:textId="77777777">
      <w:trPr>
        <w:trHeight w:val="596"/>
      </w:trPr>
      <w:tc>
        <w:tcPr>
          <w:tcW w:w="4450" w:type="dxa"/>
          <w:vMerge/>
        </w:tcPr>
        <w:p w14:paraId="054C79AF" w14:textId="77777777" w:rsidR="008448F8" w:rsidRPr="009164B5" w:rsidRDefault="008448F8" w:rsidP="0016055F">
          <w:pPr>
            <w:rPr>
              <w:rFonts w:ascii="Calibri" w:eastAsia="Times New Roman" w:hAnsi="Calibri" w:cs="Times New Roman"/>
              <w:sz w:val="18"/>
            </w:rPr>
          </w:pPr>
        </w:p>
      </w:tc>
      <w:tc>
        <w:tcPr>
          <w:tcW w:w="4753" w:type="dxa"/>
          <w:gridSpan w:val="2"/>
        </w:tcPr>
        <w:p w14:paraId="61E4EB0A" w14:textId="1F0C358B" w:rsidR="008448F8" w:rsidRPr="008448F8" w:rsidRDefault="0031733B" w:rsidP="00606706">
          <w:pPr>
            <w:pStyle w:val="Ledtextsidhuvud"/>
            <w:ind w:right="0"/>
            <w:rPr>
              <w:sz w:val="24"/>
            </w:rPr>
          </w:pPr>
          <w:r w:rsidRPr="001C47F1">
            <w:rPr>
              <w:sz w:val="24"/>
            </w:rPr>
            <w:t>Förstudie om öppna mötesplatser och möjligheter att nå svårnådda äldre personer med fokus på social förskrivning</w:t>
          </w:r>
          <w:r w:rsidRPr="008448F8">
            <w:rPr>
              <w:sz w:val="24"/>
            </w:rPr>
            <w:t xml:space="preserve">, </w:t>
          </w:r>
          <w:r>
            <w:rPr>
              <w:sz w:val="24"/>
            </w:rPr>
            <w:t>diarienummer SBU 2025/63</w:t>
          </w:r>
        </w:p>
      </w:tc>
    </w:tr>
    <w:tr w:rsidR="0035306C" w:rsidRPr="009164B5" w14:paraId="3EA90A97" w14:textId="77777777">
      <w:trPr>
        <w:trHeight w:val="596"/>
      </w:trPr>
      <w:tc>
        <w:tcPr>
          <w:tcW w:w="4450" w:type="dxa"/>
        </w:tcPr>
        <w:p w14:paraId="472244F6" w14:textId="77777777" w:rsidR="0035306C" w:rsidRPr="009164B5" w:rsidRDefault="0035306C" w:rsidP="0016055F">
          <w:pPr>
            <w:rPr>
              <w:rFonts w:ascii="Calibri" w:eastAsia="Times New Roman" w:hAnsi="Calibri" w:cs="Times New Roman"/>
              <w:sz w:val="18"/>
            </w:rPr>
          </w:pPr>
        </w:p>
      </w:tc>
      <w:tc>
        <w:tcPr>
          <w:tcW w:w="4753" w:type="dxa"/>
          <w:gridSpan w:val="2"/>
        </w:tcPr>
        <w:p w14:paraId="08BC6631" w14:textId="77777777" w:rsidR="0035306C" w:rsidRPr="008448F8" w:rsidRDefault="0035306C" w:rsidP="00606706">
          <w:pPr>
            <w:pStyle w:val="Ledtextsidhuvud"/>
            <w:ind w:right="0"/>
            <w:rPr>
              <w:sz w:val="24"/>
            </w:rPr>
          </w:pPr>
        </w:p>
      </w:tc>
    </w:tr>
  </w:tbl>
  <w:p w14:paraId="760823CF" w14:textId="77777777" w:rsidR="0016055F" w:rsidRPr="0016055F" w:rsidRDefault="0016055F">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200FA0E"/>
    <w:lvl w:ilvl="0">
      <w:start w:val="1"/>
      <w:numFmt w:val="decimal"/>
      <w:lvlText w:val="%1."/>
      <w:lvlJc w:val="left"/>
      <w:pPr>
        <w:tabs>
          <w:tab w:val="num" w:pos="360"/>
        </w:tabs>
        <w:ind w:left="360" w:hanging="360"/>
      </w:pPr>
    </w:lvl>
  </w:abstractNum>
  <w:abstractNum w:abstractNumId="1" w15:restartNumberingAfterBreak="0">
    <w:nsid w:val="08F97574"/>
    <w:multiLevelType w:val="hybridMultilevel"/>
    <w:tmpl w:val="556A135E"/>
    <w:lvl w:ilvl="0" w:tplc="F49A47DC">
      <w:start w:val="1"/>
      <w:numFmt w:val="decimal"/>
      <w:lvlText w:val="%1."/>
      <w:lvlJc w:val="left"/>
      <w:pPr>
        <w:ind w:left="144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8FF1AFD"/>
    <w:multiLevelType w:val="hybridMultilevel"/>
    <w:tmpl w:val="F68AA192"/>
    <w:lvl w:ilvl="0" w:tplc="EF18149A">
      <w:start w:val="1"/>
      <w:numFmt w:val="bullet"/>
      <w:pStyle w:val="Liststycke"/>
      <w:lvlText w:val="•"/>
      <w:lvlJc w:val="left"/>
      <w:pPr>
        <w:ind w:left="1440" w:hanging="360"/>
      </w:pPr>
      <w:rPr>
        <w:rFonts w:ascii="Calibri" w:hAnsi="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618D212D"/>
    <w:multiLevelType w:val="hybridMultilevel"/>
    <w:tmpl w:val="04FC9114"/>
    <w:lvl w:ilvl="0" w:tplc="0E0E99F4">
      <w:start w:val="1"/>
      <w:numFmt w:val="decimal"/>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6F782F16"/>
    <w:multiLevelType w:val="hybridMultilevel"/>
    <w:tmpl w:val="3BA8140A"/>
    <w:lvl w:ilvl="0" w:tplc="041D000F">
      <w:start w:val="1"/>
      <w:numFmt w:val="decimal"/>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499080194">
    <w:abstractNumId w:val="2"/>
  </w:num>
  <w:num w:numId="2" w16cid:durableId="1024789506">
    <w:abstractNumId w:val="0"/>
    <w:lvlOverride w:ilvl="0">
      <w:startOverride w:val="1"/>
    </w:lvlOverride>
  </w:num>
  <w:num w:numId="3" w16cid:durableId="1082218930">
    <w:abstractNumId w:val="0"/>
  </w:num>
  <w:num w:numId="4" w16cid:durableId="207884960">
    <w:abstractNumId w:val="4"/>
  </w:num>
  <w:num w:numId="5" w16cid:durableId="698552838">
    <w:abstractNumId w:val="2"/>
  </w:num>
  <w:num w:numId="6" w16cid:durableId="2140105376">
    <w:abstractNumId w:val="1"/>
  </w:num>
  <w:num w:numId="7" w16cid:durableId="561718478">
    <w:abstractNumId w:val="2"/>
  </w:num>
  <w:num w:numId="8" w16cid:durableId="66054482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llemor Dimberg">
    <w15:presenceInfo w15:providerId="AD" w15:userId="S::lillemor.dimberg@sbu.se::16d1c4ac-ca3d-4691-b8ef-6de4b518e1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3B"/>
    <w:rsid w:val="000038BD"/>
    <w:rsid w:val="00020391"/>
    <w:rsid w:val="00026EF3"/>
    <w:rsid w:val="000572D6"/>
    <w:rsid w:val="00060F59"/>
    <w:rsid w:val="000629C3"/>
    <w:rsid w:val="0007764D"/>
    <w:rsid w:val="00085373"/>
    <w:rsid w:val="000904F1"/>
    <w:rsid w:val="000C6AE3"/>
    <w:rsid w:val="000E4FEE"/>
    <w:rsid w:val="00121A5E"/>
    <w:rsid w:val="00134F0D"/>
    <w:rsid w:val="00156EE6"/>
    <w:rsid w:val="0016055F"/>
    <w:rsid w:val="0018092A"/>
    <w:rsid w:val="00185E71"/>
    <w:rsid w:val="00187FBF"/>
    <w:rsid w:val="00191CB8"/>
    <w:rsid w:val="001B2F00"/>
    <w:rsid w:val="001C07F7"/>
    <w:rsid w:val="001C2C85"/>
    <w:rsid w:val="001F1CD6"/>
    <w:rsid w:val="001F6C98"/>
    <w:rsid w:val="00216416"/>
    <w:rsid w:val="002204D9"/>
    <w:rsid w:val="00240546"/>
    <w:rsid w:val="00243058"/>
    <w:rsid w:val="00257EBD"/>
    <w:rsid w:val="002626E6"/>
    <w:rsid w:val="002A31E5"/>
    <w:rsid w:val="002D7972"/>
    <w:rsid w:val="002E5534"/>
    <w:rsid w:val="002E5C75"/>
    <w:rsid w:val="002E7577"/>
    <w:rsid w:val="00306C49"/>
    <w:rsid w:val="00310AD5"/>
    <w:rsid w:val="003138F3"/>
    <w:rsid w:val="0031733B"/>
    <w:rsid w:val="00325995"/>
    <w:rsid w:val="0034063D"/>
    <w:rsid w:val="003406F3"/>
    <w:rsid w:val="0035306C"/>
    <w:rsid w:val="003D0238"/>
    <w:rsid w:val="004455CC"/>
    <w:rsid w:val="004A38B5"/>
    <w:rsid w:val="004B7140"/>
    <w:rsid w:val="004B7F17"/>
    <w:rsid w:val="004C392A"/>
    <w:rsid w:val="004C447F"/>
    <w:rsid w:val="004E1E97"/>
    <w:rsid w:val="004E35F0"/>
    <w:rsid w:val="00510692"/>
    <w:rsid w:val="00541B4E"/>
    <w:rsid w:val="0055135A"/>
    <w:rsid w:val="005617C1"/>
    <w:rsid w:val="005711A7"/>
    <w:rsid w:val="005913C9"/>
    <w:rsid w:val="005A7EF6"/>
    <w:rsid w:val="005D3AE2"/>
    <w:rsid w:val="005D7A6A"/>
    <w:rsid w:val="00606706"/>
    <w:rsid w:val="00640640"/>
    <w:rsid w:val="006634E5"/>
    <w:rsid w:val="00674A4C"/>
    <w:rsid w:val="006832A0"/>
    <w:rsid w:val="006851BF"/>
    <w:rsid w:val="006F3DB9"/>
    <w:rsid w:val="00725AEA"/>
    <w:rsid w:val="00727121"/>
    <w:rsid w:val="007513C7"/>
    <w:rsid w:val="0075643A"/>
    <w:rsid w:val="0079668D"/>
    <w:rsid w:val="007A25EB"/>
    <w:rsid w:val="007B0114"/>
    <w:rsid w:val="007B5534"/>
    <w:rsid w:val="007C1505"/>
    <w:rsid w:val="007C5FB9"/>
    <w:rsid w:val="007E5458"/>
    <w:rsid w:val="007F7748"/>
    <w:rsid w:val="008009E2"/>
    <w:rsid w:val="008448F8"/>
    <w:rsid w:val="008452CE"/>
    <w:rsid w:val="00856BD5"/>
    <w:rsid w:val="0085728D"/>
    <w:rsid w:val="00861987"/>
    <w:rsid w:val="0089706C"/>
    <w:rsid w:val="008B63A2"/>
    <w:rsid w:val="008C7521"/>
    <w:rsid w:val="008F1421"/>
    <w:rsid w:val="008F346E"/>
    <w:rsid w:val="00912B36"/>
    <w:rsid w:val="009164B5"/>
    <w:rsid w:val="00931BD6"/>
    <w:rsid w:val="009624BD"/>
    <w:rsid w:val="00987653"/>
    <w:rsid w:val="009A3522"/>
    <w:rsid w:val="009B35D6"/>
    <w:rsid w:val="009B7B35"/>
    <w:rsid w:val="009D7D41"/>
    <w:rsid w:val="009D7F47"/>
    <w:rsid w:val="009E46E1"/>
    <w:rsid w:val="009E511E"/>
    <w:rsid w:val="009F0A4B"/>
    <w:rsid w:val="00A0252E"/>
    <w:rsid w:val="00A12569"/>
    <w:rsid w:val="00A3535D"/>
    <w:rsid w:val="00A35602"/>
    <w:rsid w:val="00A558EC"/>
    <w:rsid w:val="00A74C47"/>
    <w:rsid w:val="00A873DE"/>
    <w:rsid w:val="00AA26DF"/>
    <w:rsid w:val="00AB3485"/>
    <w:rsid w:val="00AB482D"/>
    <w:rsid w:val="00AB5CDA"/>
    <w:rsid w:val="00AC03F2"/>
    <w:rsid w:val="00AD3F57"/>
    <w:rsid w:val="00AF28F2"/>
    <w:rsid w:val="00AF7980"/>
    <w:rsid w:val="00B03704"/>
    <w:rsid w:val="00B217CA"/>
    <w:rsid w:val="00B7032D"/>
    <w:rsid w:val="00B85DAE"/>
    <w:rsid w:val="00B94B5C"/>
    <w:rsid w:val="00BC2B94"/>
    <w:rsid w:val="00BC75CD"/>
    <w:rsid w:val="00BD6467"/>
    <w:rsid w:val="00BE1206"/>
    <w:rsid w:val="00BF590C"/>
    <w:rsid w:val="00C053AA"/>
    <w:rsid w:val="00C065F3"/>
    <w:rsid w:val="00C2338E"/>
    <w:rsid w:val="00C40954"/>
    <w:rsid w:val="00C4155E"/>
    <w:rsid w:val="00C51744"/>
    <w:rsid w:val="00CA1696"/>
    <w:rsid w:val="00CA77AD"/>
    <w:rsid w:val="00CC02F4"/>
    <w:rsid w:val="00CC141B"/>
    <w:rsid w:val="00CF67E8"/>
    <w:rsid w:val="00D022AC"/>
    <w:rsid w:val="00D062A9"/>
    <w:rsid w:val="00D11306"/>
    <w:rsid w:val="00D17CC8"/>
    <w:rsid w:val="00D338F9"/>
    <w:rsid w:val="00D52632"/>
    <w:rsid w:val="00D84E60"/>
    <w:rsid w:val="00D96269"/>
    <w:rsid w:val="00D96DA8"/>
    <w:rsid w:val="00DA06FE"/>
    <w:rsid w:val="00DD56AA"/>
    <w:rsid w:val="00E047ED"/>
    <w:rsid w:val="00E11E8E"/>
    <w:rsid w:val="00E64E31"/>
    <w:rsid w:val="00E85305"/>
    <w:rsid w:val="00E87112"/>
    <w:rsid w:val="00E909F3"/>
    <w:rsid w:val="00EF40DB"/>
    <w:rsid w:val="00F15557"/>
    <w:rsid w:val="00F21C31"/>
    <w:rsid w:val="00F42981"/>
    <w:rsid w:val="00F74C7D"/>
    <w:rsid w:val="00F80891"/>
    <w:rsid w:val="00FA1233"/>
    <w:rsid w:val="00FA2903"/>
    <w:rsid w:val="00FD231D"/>
    <w:rsid w:val="00FD49DC"/>
    <w:rsid w:val="00FE00FC"/>
    <w:rsid w:val="00FF5443"/>
    <w:rsid w:val="2A9B71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EF339"/>
  <w15:chartTrackingRefBased/>
  <w15:docId w15:val="{330A285E-426C-412B-AD68-474A5B27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05"/>
    <w:pPr>
      <w:spacing w:after="240" w:line="240" w:lineRule="auto"/>
    </w:pPr>
    <w:rPr>
      <w:rFonts w:ascii="Garamond" w:hAnsi="Garamond"/>
      <w:sz w:val="24"/>
    </w:rPr>
  </w:style>
  <w:style w:type="paragraph" w:styleId="Rubrik1">
    <w:name w:val="heading 1"/>
    <w:basedOn w:val="Normal"/>
    <w:next w:val="Normal"/>
    <w:link w:val="Rubrik1Char"/>
    <w:uiPriority w:val="9"/>
    <w:qFormat/>
    <w:rsid w:val="0016055F"/>
    <w:pPr>
      <w:keepNext/>
      <w:keepLines/>
      <w:spacing w:before="240" w:after="0"/>
      <w:outlineLvl w:val="0"/>
    </w:pPr>
    <w:rPr>
      <w:rFonts w:asciiTheme="majorHAnsi" w:eastAsiaTheme="majorEastAsia" w:hAnsiTheme="majorHAnsi" w:cstheme="majorBidi"/>
      <w:color w:val="4472C4" w:themeColor="accent5"/>
      <w:sz w:val="32"/>
      <w:szCs w:val="32"/>
    </w:rPr>
  </w:style>
  <w:style w:type="paragraph" w:styleId="Rubrik2">
    <w:name w:val="heading 2"/>
    <w:basedOn w:val="Normal"/>
    <w:next w:val="Normal"/>
    <w:link w:val="Rubrik2Char"/>
    <w:uiPriority w:val="9"/>
    <w:unhideWhenUsed/>
    <w:qFormat/>
    <w:rsid w:val="0016055F"/>
    <w:pPr>
      <w:keepNext/>
      <w:keepLines/>
      <w:spacing w:before="40" w:after="0"/>
      <w:outlineLvl w:val="1"/>
    </w:pPr>
    <w:rPr>
      <w:rFonts w:asciiTheme="majorHAnsi" w:eastAsiaTheme="majorEastAsia" w:hAnsiTheme="majorHAnsi" w:cstheme="majorBidi"/>
      <w:color w:val="4472C4" w:themeColor="accent5"/>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64B5"/>
    <w:pPr>
      <w:tabs>
        <w:tab w:val="center" w:pos="4536"/>
        <w:tab w:val="right" w:pos="9072"/>
      </w:tabs>
      <w:spacing w:after="0"/>
    </w:pPr>
  </w:style>
  <w:style w:type="character" w:customStyle="1" w:styleId="SidhuvudChar">
    <w:name w:val="Sidhuvud Char"/>
    <w:basedOn w:val="Standardstycketeckensnitt"/>
    <w:link w:val="Sidhuvud"/>
    <w:uiPriority w:val="99"/>
    <w:rsid w:val="009164B5"/>
  </w:style>
  <w:style w:type="paragraph" w:styleId="Sidfot">
    <w:name w:val="footer"/>
    <w:basedOn w:val="Normal"/>
    <w:link w:val="SidfotChar"/>
    <w:uiPriority w:val="99"/>
    <w:unhideWhenUsed/>
    <w:rsid w:val="007C1505"/>
    <w:pPr>
      <w:spacing w:after="0"/>
      <w:ind w:right="-1134"/>
    </w:pPr>
    <w:rPr>
      <w:rFonts w:ascii="Calibri" w:eastAsia="Times New Roman" w:hAnsi="Calibri" w:cs="Times New Roman"/>
      <w:sz w:val="18"/>
      <w:szCs w:val="24"/>
    </w:rPr>
  </w:style>
  <w:style w:type="character" w:customStyle="1" w:styleId="SidfotChar">
    <w:name w:val="Sidfot Char"/>
    <w:basedOn w:val="Standardstycketeckensnitt"/>
    <w:link w:val="Sidfot"/>
    <w:uiPriority w:val="99"/>
    <w:rsid w:val="007C1505"/>
    <w:rPr>
      <w:rFonts w:ascii="Calibri" w:eastAsia="Times New Roman" w:hAnsi="Calibri" w:cs="Times New Roman"/>
      <w:sz w:val="18"/>
      <w:szCs w:val="24"/>
    </w:rPr>
  </w:style>
  <w:style w:type="table" w:styleId="Tabellrutnt">
    <w:name w:val="Table Grid"/>
    <w:basedOn w:val="Normaltabell"/>
    <w:uiPriority w:val="59"/>
    <w:rsid w:val="009164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59"/>
    <w:rsid w:val="009164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59"/>
    <w:rsid w:val="009164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Extra">
    <w:name w:val="RubrikExtra"/>
    <w:basedOn w:val="Normal"/>
    <w:link w:val="RubrikExtraChar"/>
    <w:rsid w:val="0016055F"/>
    <w:pPr>
      <w:keepNext/>
      <w:keepLines/>
      <w:spacing w:before="960" w:after="0"/>
      <w:outlineLvl w:val="3"/>
    </w:pPr>
    <w:rPr>
      <w:rFonts w:ascii="Calibri" w:eastAsia="Times New Roman" w:hAnsi="Calibri" w:cs="Times New Roman"/>
      <w:b/>
      <w:bCs/>
      <w:iCs/>
      <w:sz w:val="20"/>
      <w:szCs w:val="24"/>
    </w:rPr>
  </w:style>
  <w:style w:type="character" w:customStyle="1" w:styleId="Rubrik1Char">
    <w:name w:val="Rubrik 1 Char"/>
    <w:basedOn w:val="Standardstycketeckensnitt"/>
    <w:link w:val="Rubrik1"/>
    <w:uiPriority w:val="9"/>
    <w:rsid w:val="0016055F"/>
    <w:rPr>
      <w:rFonts w:asciiTheme="majorHAnsi" w:eastAsiaTheme="majorEastAsia" w:hAnsiTheme="majorHAnsi" w:cstheme="majorBidi"/>
      <w:color w:val="4472C4" w:themeColor="accent5"/>
      <w:sz w:val="32"/>
      <w:szCs w:val="32"/>
    </w:rPr>
  </w:style>
  <w:style w:type="character" w:customStyle="1" w:styleId="RubrikExtraChar">
    <w:name w:val="RubrikExtra Char"/>
    <w:basedOn w:val="Standardstycketeckensnitt"/>
    <w:link w:val="RubrikExtra"/>
    <w:rsid w:val="0016055F"/>
    <w:rPr>
      <w:rFonts w:ascii="Calibri" w:eastAsia="Times New Roman" w:hAnsi="Calibri" w:cs="Times New Roman"/>
      <w:b/>
      <w:bCs/>
      <w:iCs/>
      <w:sz w:val="20"/>
      <w:szCs w:val="24"/>
    </w:rPr>
  </w:style>
  <w:style w:type="character" w:customStyle="1" w:styleId="Rubrik2Char">
    <w:name w:val="Rubrik 2 Char"/>
    <w:basedOn w:val="Standardstycketeckensnitt"/>
    <w:link w:val="Rubrik2"/>
    <w:uiPriority w:val="9"/>
    <w:rsid w:val="0016055F"/>
    <w:rPr>
      <w:rFonts w:asciiTheme="majorHAnsi" w:eastAsiaTheme="majorEastAsia" w:hAnsiTheme="majorHAnsi" w:cstheme="majorBidi"/>
      <w:color w:val="4472C4" w:themeColor="accent5"/>
      <w:sz w:val="26"/>
      <w:szCs w:val="26"/>
    </w:rPr>
  </w:style>
  <w:style w:type="character" w:styleId="Starkbetoning">
    <w:name w:val="Intense Emphasis"/>
    <w:basedOn w:val="Standardstycketeckensnitt"/>
    <w:uiPriority w:val="21"/>
    <w:rsid w:val="0016055F"/>
    <w:rPr>
      <w:i/>
      <w:iCs/>
      <w:color w:val="4472C4" w:themeColor="accent5"/>
    </w:rPr>
  </w:style>
  <w:style w:type="paragraph" w:styleId="Starktcitat">
    <w:name w:val="Intense Quote"/>
    <w:basedOn w:val="Normal"/>
    <w:next w:val="Normal"/>
    <w:link w:val="StarktcitatChar"/>
    <w:uiPriority w:val="30"/>
    <w:rsid w:val="0016055F"/>
    <w:pPr>
      <w:pBdr>
        <w:top w:val="single" w:sz="4" w:space="10" w:color="5B9BD5" w:themeColor="accent1"/>
        <w:bottom w:val="single" w:sz="4" w:space="10" w:color="5B9BD5" w:themeColor="accent1"/>
      </w:pBdr>
      <w:spacing w:before="360" w:after="360"/>
      <w:ind w:left="864" w:right="864"/>
      <w:jc w:val="center"/>
    </w:pPr>
    <w:rPr>
      <w:i/>
      <w:iCs/>
      <w:color w:val="4472C4" w:themeColor="accent5"/>
    </w:rPr>
  </w:style>
  <w:style w:type="character" w:customStyle="1" w:styleId="StarktcitatChar">
    <w:name w:val="Starkt citat Char"/>
    <w:basedOn w:val="Standardstycketeckensnitt"/>
    <w:link w:val="Starktcitat"/>
    <w:uiPriority w:val="30"/>
    <w:rsid w:val="0016055F"/>
    <w:rPr>
      <w:i/>
      <w:iCs/>
      <w:color w:val="4472C4" w:themeColor="accent5"/>
    </w:rPr>
  </w:style>
  <w:style w:type="character" w:styleId="Starkreferens">
    <w:name w:val="Intense Reference"/>
    <w:basedOn w:val="Standardstycketeckensnitt"/>
    <w:uiPriority w:val="32"/>
    <w:rsid w:val="0016055F"/>
    <w:rPr>
      <w:b/>
      <w:bCs/>
      <w:smallCaps/>
      <w:color w:val="4472C4" w:themeColor="accent5"/>
      <w:spacing w:val="5"/>
    </w:rPr>
  </w:style>
  <w:style w:type="character" w:styleId="Platshllartext">
    <w:name w:val="Placeholder Text"/>
    <w:basedOn w:val="Standardstycketeckensnitt"/>
    <w:uiPriority w:val="99"/>
    <w:semiHidden/>
    <w:rsid w:val="002204D9"/>
    <w:rPr>
      <w:color w:val="808080"/>
    </w:rPr>
  </w:style>
  <w:style w:type="paragraph" w:customStyle="1" w:styleId="Svartrubrik1">
    <w:name w:val="Svart rubrik 1"/>
    <w:basedOn w:val="Rubrik1"/>
    <w:next w:val="Normal"/>
    <w:qFormat/>
    <w:rsid w:val="002204D9"/>
    <w:pPr>
      <w:spacing w:after="100"/>
      <w:outlineLvl w:val="1"/>
    </w:pPr>
    <w:rPr>
      <w:rFonts w:ascii="Calibri" w:eastAsia="Times New Roman" w:hAnsi="Calibri" w:cs="Times New Roman"/>
      <w:b/>
      <w:bCs/>
      <w:iCs/>
      <w:color w:val="auto"/>
      <w:sz w:val="28"/>
      <w:szCs w:val="28"/>
      <w:lang w:eastAsia="sv-SE"/>
    </w:rPr>
  </w:style>
  <w:style w:type="paragraph" w:customStyle="1" w:styleId="RubrikSidhuvud">
    <w:name w:val="Rubrik Sidhuvud"/>
    <w:basedOn w:val="Svartrubrik1"/>
    <w:next w:val="Normal"/>
    <w:rsid w:val="007C1505"/>
    <w:pPr>
      <w:spacing w:before="60" w:after="0"/>
    </w:pPr>
    <w:rPr>
      <w:kern w:val="32"/>
      <w:sz w:val="32"/>
      <w:szCs w:val="52"/>
    </w:rPr>
  </w:style>
  <w:style w:type="paragraph" w:customStyle="1" w:styleId="Svartrubrik2">
    <w:name w:val="Svart rubrik 2"/>
    <w:basedOn w:val="Svartrubrik1"/>
    <w:next w:val="Normal"/>
    <w:qFormat/>
    <w:rsid w:val="007C1505"/>
    <w:rPr>
      <w:sz w:val="24"/>
    </w:rPr>
  </w:style>
  <w:style w:type="paragraph" w:customStyle="1" w:styleId="Ledtextsidhuvud">
    <w:name w:val="Ledtext sidhuvud"/>
    <w:basedOn w:val="Sidfot"/>
    <w:rsid w:val="007C1505"/>
  </w:style>
  <w:style w:type="paragraph" w:styleId="Liststycke">
    <w:name w:val="List Paragraph"/>
    <w:basedOn w:val="Normal"/>
    <w:uiPriority w:val="34"/>
    <w:qFormat/>
    <w:rsid w:val="007C1505"/>
    <w:pPr>
      <w:numPr>
        <w:numId w:val="1"/>
      </w:numPr>
      <w:contextualSpacing/>
    </w:pPr>
    <w:rPr>
      <w:szCs w:val="24"/>
    </w:rPr>
  </w:style>
  <w:style w:type="character" w:styleId="Kommentarsreferens">
    <w:name w:val="annotation reference"/>
    <w:basedOn w:val="Standardstycketeckensnitt"/>
    <w:uiPriority w:val="99"/>
    <w:semiHidden/>
    <w:unhideWhenUsed/>
    <w:rsid w:val="0031733B"/>
    <w:rPr>
      <w:sz w:val="16"/>
      <w:szCs w:val="16"/>
    </w:rPr>
  </w:style>
  <w:style w:type="paragraph" w:styleId="Kommentarer">
    <w:name w:val="annotation text"/>
    <w:basedOn w:val="Normal"/>
    <w:link w:val="KommentarerChar"/>
    <w:uiPriority w:val="99"/>
    <w:unhideWhenUsed/>
    <w:rsid w:val="0031733B"/>
    <w:pPr>
      <w:spacing w:after="160"/>
    </w:pPr>
    <w:rPr>
      <w:rFonts w:asciiTheme="minorHAnsi" w:hAnsiTheme="minorHAnsi"/>
      <w:kern w:val="2"/>
      <w:sz w:val="20"/>
      <w:szCs w:val="20"/>
      <w14:ligatures w14:val="standardContextual"/>
    </w:rPr>
  </w:style>
  <w:style w:type="character" w:customStyle="1" w:styleId="KommentarerChar">
    <w:name w:val="Kommentarer Char"/>
    <w:basedOn w:val="Standardstycketeckensnitt"/>
    <w:link w:val="Kommentarer"/>
    <w:uiPriority w:val="99"/>
    <w:rsid w:val="0031733B"/>
    <w:rPr>
      <w:kern w:val="2"/>
      <w:sz w:val="20"/>
      <w:szCs w:val="20"/>
      <w14:ligatures w14:val="standardContextual"/>
    </w:rPr>
  </w:style>
  <w:style w:type="character" w:styleId="Hyperlnk">
    <w:name w:val="Hyperlink"/>
    <w:basedOn w:val="Standardstycketeckensnitt"/>
    <w:uiPriority w:val="99"/>
    <w:unhideWhenUsed/>
    <w:rsid w:val="0031733B"/>
    <w:rPr>
      <w:color w:val="0563C1" w:themeColor="hyperlink"/>
      <w:u w:val="single"/>
    </w:rPr>
  </w:style>
  <w:style w:type="paragraph" w:customStyle="1" w:styleId="EndNoteBibliography">
    <w:name w:val="EndNote Bibliography"/>
    <w:basedOn w:val="Normal"/>
    <w:link w:val="EndNoteBibliographyChar"/>
    <w:rsid w:val="0031733B"/>
    <w:pPr>
      <w:spacing w:after="160"/>
    </w:pPr>
    <w:rPr>
      <w:rFonts w:ascii="Aptos" w:hAnsi="Aptos"/>
      <w:noProof/>
      <w:kern w:val="2"/>
      <w:sz w:val="22"/>
      <w:lang w:val="en-US"/>
      <w14:ligatures w14:val="standardContextual"/>
    </w:rPr>
  </w:style>
  <w:style w:type="character" w:customStyle="1" w:styleId="EndNoteBibliographyChar">
    <w:name w:val="EndNote Bibliography Char"/>
    <w:basedOn w:val="Standardstycketeckensnitt"/>
    <w:link w:val="EndNoteBibliography"/>
    <w:rsid w:val="0031733B"/>
    <w:rPr>
      <w:rFonts w:ascii="Aptos" w:hAnsi="Aptos"/>
      <w:noProof/>
      <w:kern w:val="2"/>
      <w:lang w:val="en-US"/>
      <w14:ligatures w14:val="standardContextual"/>
    </w:rPr>
  </w:style>
  <w:style w:type="table" w:styleId="Listtabell3dekorfrg1">
    <w:name w:val="List Table 3 Accent 1"/>
    <w:basedOn w:val="Normaltabell"/>
    <w:uiPriority w:val="48"/>
    <w:rsid w:val="0031733B"/>
    <w:pPr>
      <w:spacing w:after="0" w:line="240" w:lineRule="auto"/>
    </w:pPr>
    <w:rPr>
      <w:kern w:val="2"/>
      <w14:ligatures w14:val="standardContextual"/>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Revision">
    <w:name w:val="Revision"/>
    <w:hidden/>
    <w:uiPriority w:val="99"/>
    <w:semiHidden/>
    <w:rsid w:val="00674A4C"/>
    <w:pPr>
      <w:spacing w:after="0" w:line="240" w:lineRule="auto"/>
    </w:pPr>
    <w:rPr>
      <w:rFonts w:ascii="Garamond" w:hAnsi="Garamond"/>
      <w:sz w:val="24"/>
    </w:rPr>
  </w:style>
  <w:style w:type="paragraph" w:styleId="Kommentarsmne">
    <w:name w:val="annotation subject"/>
    <w:basedOn w:val="Kommentarer"/>
    <w:next w:val="Kommentarer"/>
    <w:link w:val="KommentarsmneChar"/>
    <w:uiPriority w:val="99"/>
    <w:semiHidden/>
    <w:unhideWhenUsed/>
    <w:rsid w:val="00F74C7D"/>
    <w:pPr>
      <w:spacing w:after="240"/>
    </w:pPr>
    <w:rPr>
      <w:rFonts w:ascii="Garamond" w:hAnsi="Garamond"/>
      <w:b/>
      <w:bCs/>
      <w:kern w:val="0"/>
      <w14:ligatures w14:val="none"/>
    </w:rPr>
  </w:style>
  <w:style w:type="character" w:customStyle="1" w:styleId="KommentarsmneChar">
    <w:name w:val="Kommentarsämne Char"/>
    <w:basedOn w:val="KommentarerChar"/>
    <w:link w:val="Kommentarsmne"/>
    <w:uiPriority w:val="99"/>
    <w:semiHidden/>
    <w:rsid w:val="00F74C7D"/>
    <w:rPr>
      <w:rFonts w:ascii="Garamond" w:hAnsi="Garamond"/>
      <w:b/>
      <w:bCs/>
      <w:kern w:val="2"/>
      <w:sz w:val="20"/>
      <w:szCs w:val="20"/>
      <w14:ligatures w14:val="standardContextual"/>
    </w:rPr>
  </w:style>
  <w:style w:type="character" w:styleId="Nmn">
    <w:name w:val="Mention"/>
    <w:basedOn w:val="Standardstycketeckensnitt"/>
    <w:uiPriority w:val="99"/>
    <w:unhideWhenUsed/>
    <w:rsid w:val="00121A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dx.doi.org/10.1016/j.puhe.2017.03.010"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t\AppData\Roaming\Microsoft\Mallar\Projekt\Bilaga%20till%20rappo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08D72EC68E0FA47BDA978162C5770CA" ma:contentTypeVersion="4" ma:contentTypeDescription="Skapa ett nytt dokument." ma:contentTypeScope="" ma:versionID="689ee413538ab6edffe25dc8831d02bc">
  <xsd:schema xmlns:xsd="http://www.w3.org/2001/XMLSchema" xmlns:xs="http://www.w3.org/2001/XMLSchema" xmlns:p="http://schemas.microsoft.com/office/2006/metadata/properties" xmlns:ns2="0dfadbd6-de6e-4258-9f7c-f3e61848be19" targetNamespace="http://schemas.microsoft.com/office/2006/metadata/properties" ma:root="true" ma:fieldsID="25405d96ea743a46209bd7530645a163" ns2:_="">
    <xsd:import namespace="0dfadbd6-de6e-4258-9f7c-f3e61848be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adbd6-de6e-4258-9f7c-f3e61848b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73FA1-6368-4369-8EEC-41D9CA314EBE}">
  <ds:schemaRefs>
    <ds:schemaRef ds:uri="http://schemas.openxmlformats.org/officeDocument/2006/bibliography"/>
  </ds:schemaRefs>
</ds:datastoreItem>
</file>

<file path=customXml/itemProps2.xml><?xml version="1.0" encoding="utf-8"?>
<ds:datastoreItem xmlns:ds="http://schemas.openxmlformats.org/officeDocument/2006/customXml" ds:itemID="{FB438319-7FB1-40F8-A191-A4E6410CAD99}">
  <ds:schemaRefs>
    <ds:schemaRef ds:uri="http://schemas.microsoft.com/sharepoint/v3/contenttype/forms"/>
  </ds:schemaRefs>
</ds:datastoreItem>
</file>

<file path=customXml/itemProps3.xml><?xml version="1.0" encoding="utf-8"?>
<ds:datastoreItem xmlns:ds="http://schemas.openxmlformats.org/officeDocument/2006/customXml" ds:itemID="{786841EB-8888-47D8-8EF5-6FCF296847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ADFAC2-4B50-4FB1-8AF9-2C7051D56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adbd6-de6e-4258-9f7c-f3e61848b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Bilaga till rapport</Template>
  <TotalTime>134</TotalTime>
  <Pages>8</Pages>
  <Words>1809</Words>
  <Characters>9588</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SBU</Company>
  <LinksUpToDate>false</LinksUpToDate>
  <CharactersWithSpaces>11375</CharactersWithSpaces>
  <SharedDoc>false</SharedDoc>
  <HLinks>
    <vt:vector size="18" baseType="variant">
      <vt:variant>
        <vt:i4>65561</vt:i4>
      </vt:variant>
      <vt:variant>
        <vt:i4>6</vt:i4>
      </vt:variant>
      <vt:variant>
        <vt:i4>0</vt:i4>
      </vt:variant>
      <vt:variant>
        <vt:i4>5</vt:i4>
      </vt:variant>
      <vt:variant>
        <vt:lpwstr>https://dx.doi.org/10.1016/j.puhe.2017.03.010</vt:lpwstr>
      </vt:variant>
      <vt:variant>
        <vt:lpwstr/>
      </vt:variant>
      <vt:variant>
        <vt:i4>1376383</vt:i4>
      </vt:variant>
      <vt:variant>
        <vt:i4>3</vt:i4>
      </vt:variant>
      <vt:variant>
        <vt:i4>0</vt:i4>
      </vt:variant>
      <vt:variant>
        <vt:i4>5</vt:i4>
      </vt:variant>
      <vt:variant>
        <vt:lpwstr>mailto:Goran.Bertilsson@sbu.se</vt:lpwstr>
      </vt:variant>
      <vt:variant>
        <vt:lpwstr/>
      </vt:variant>
      <vt:variant>
        <vt:i4>3342404</vt:i4>
      </vt:variant>
      <vt:variant>
        <vt:i4>0</vt:i4>
      </vt:variant>
      <vt:variant>
        <vt:i4>0</vt:i4>
      </vt:variant>
      <vt:variant>
        <vt:i4>5</vt:i4>
      </vt:variant>
      <vt:variant>
        <vt:lpwstr>mailto:Mikael.Nilsson@sbu.se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Attergren Granath</dc:creator>
  <cp:keywords/>
  <dc:description/>
  <cp:lastModifiedBy>Lillemor Dimberg</cp:lastModifiedBy>
  <cp:revision>98</cp:revision>
  <dcterms:created xsi:type="dcterms:W3CDTF">2025-05-08T16:39:00Z</dcterms:created>
  <dcterms:modified xsi:type="dcterms:W3CDTF">2025-05-15T13:18:00Z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0x010100D08D72EC68E0FA47BDA978162C5770CA</vt:lpwstr>
  </property>
</Properties>
</file>