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0267" w14:textId="2D74F09A" w:rsidR="00537935" w:rsidRDefault="00537935" w:rsidP="00537935">
      <w:pPr>
        <w:pStyle w:val="Rubrik2"/>
        <w:rPr>
          <w:rFonts w:ascii="Aptos" w:eastAsia="Aptos" w:hAnsi="Aptos" w:cs="Arial"/>
          <w:color w:val="auto"/>
          <w:sz w:val="22"/>
          <w:szCs w:val="22"/>
        </w:rPr>
      </w:pPr>
      <w:r w:rsidRPr="0003480D">
        <w:t>Bilaga 2 Tabell med in</w:t>
      </w:r>
      <w:r>
        <w:t>k</w:t>
      </w:r>
      <w:r w:rsidRPr="0003480D">
        <w:t>luderade s</w:t>
      </w:r>
      <w:r>
        <w:t xml:space="preserve">ystematiska översikter om social förskrivning (social </w:t>
      </w:r>
      <w:r w:rsidR="00B16051">
        <w:t>prescribing</w:t>
      </w:r>
      <w:r>
        <w:t>)</w:t>
      </w:r>
      <w:r w:rsidR="000A17AE">
        <w:t>, n=</w:t>
      </w:r>
      <w:r w:rsidR="00411A12">
        <w:t>3</w:t>
      </w:r>
      <w:r w:rsidR="000F6BE4">
        <w:t>.</w:t>
      </w:r>
    </w:p>
    <w:p w14:paraId="131A564E" w14:textId="77777777" w:rsidR="0041037C" w:rsidRPr="0041037C" w:rsidRDefault="0041037C" w:rsidP="0041037C"/>
    <w:tbl>
      <w:tblPr>
        <w:tblStyle w:val="Rutntstabell4dekorfrg1"/>
        <w:tblW w:w="13636" w:type="dxa"/>
        <w:tblLook w:val="04A0" w:firstRow="1" w:lastRow="0" w:firstColumn="1" w:lastColumn="0" w:noHBand="0" w:noVBand="1"/>
      </w:tblPr>
      <w:tblGrid>
        <w:gridCol w:w="2672"/>
        <w:gridCol w:w="2765"/>
        <w:gridCol w:w="2710"/>
        <w:gridCol w:w="4002"/>
        <w:gridCol w:w="1487"/>
      </w:tblGrid>
      <w:tr w:rsidR="00537935" w:rsidRPr="00411A12" w14:paraId="66669590" w14:textId="77777777" w:rsidTr="006C313A">
        <w:trPr>
          <w:cnfStyle w:val="100000000000" w:firstRow="1" w:lastRow="0" w:firstColumn="0" w:lastColumn="0" w:oddVBand="0" w:evenVBand="0" w:oddHBand="0"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672" w:type="dxa"/>
            <w:shd w:val="clear" w:color="auto" w:fill="2E74B5" w:themeFill="accent1" w:themeFillShade="BF"/>
          </w:tcPr>
          <w:p w14:paraId="24F2045D" w14:textId="77777777" w:rsidR="00537935" w:rsidRPr="0041037C" w:rsidRDefault="00537935" w:rsidP="006C313A">
            <w:pPr>
              <w:rPr>
                <w:rFonts w:ascii="Aptos" w:hAnsi="Aptos"/>
                <w:sz w:val="22"/>
              </w:rPr>
            </w:pPr>
            <w:r w:rsidRPr="0041037C">
              <w:rPr>
                <w:rFonts w:ascii="Aptos" w:hAnsi="Aptos"/>
                <w:sz w:val="22"/>
              </w:rPr>
              <w:t>Author</w:t>
            </w:r>
          </w:p>
          <w:p w14:paraId="739E3681" w14:textId="77777777" w:rsidR="00537935" w:rsidRPr="0041037C" w:rsidRDefault="00537935" w:rsidP="006C313A">
            <w:pPr>
              <w:rPr>
                <w:rFonts w:ascii="Aptos" w:hAnsi="Aptos"/>
                <w:sz w:val="22"/>
              </w:rPr>
            </w:pPr>
            <w:r w:rsidRPr="0041037C">
              <w:rPr>
                <w:rFonts w:ascii="Aptos" w:hAnsi="Aptos"/>
                <w:sz w:val="22"/>
              </w:rPr>
              <w:t>Year</w:t>
            </w:r>
          </w:p>
          <w:p w14:paraId="179DE116" w14:textId="77777777" w:rsidR="00537935" w:rsidRPr="0041037C" w:rsidRDefault="00537935" w:rsidP="006C313A">
            <w:pPr>
              <w:rPr>
                <w:rFonts w:ascii="Aptos" w:hAnsi="Aptos"/>
                <w:sz w:val="22"/>
              </w:rPr>
            </w:pPr>
            <w:r w:rsidRPr="0041037C">
              <w:rPr>
                <w:rFonts w:ascii="Aptos" w:hAnsi="Aptos"/>
                <w:sz w:val="22"/>
              </w:rPr>
              <w:t>Country</w:t>
            </w:r>
          </w:p>
        </w:tc>
        <w:tc>
          <w:tcPr>
            <w:tcW w:w="2765" w:type="dxa"/>
            <w:shd w:val="clear" w:color="auto" w:fill="2E74B5" w:themeFill="accent1" w:themeFillShade="BF"/>
          </w:tcPr>
          <w:p w14:paraId="1ED0C3F7" w14:textId="77777777" w:rsidR="00537935" w:rsidRPr="0041037C" w:rsidRDefault="00537935" w:rsidP="006C313A">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r w:rsidRPr="0041037C">
              <w:rPr>
                <w:rFonts w:ascii="Aptos" w:hAnsi="Aptos"/>
                <w:sz w:val="22"/>
              </w:rPr>
              <w:t>Aim</w:t>
            </w:r>
          </w:p>
        </w:tc>
        <w:tc>
          <w:tcPr>
            <w:tcW w:w="2710" w:type="dxa"/>
            <w:shd w:val="clear" w:color="auto" w:fill="2E74B5" w:themeFill="accent1" w:themeFillShade="BF"/>
          </w:tcPr>
          <w:p w14:paraId="49FA8C55" w14:textId="77777777" w:rsidR="00537935" w:rsidRPr="0041037C" w:rsidRDefault="00537935" w:rsidP="006C313A">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r w:rsidRPr="0041037C">
              <w:rPr>
                <w:rFonts w:ascii="Aptos" w:hAnsi="Aptos"/>
                <w:sz w:val="22"/>
              </w:rPr>
              <w:t>Population</w:t>
            </w:r>
          </w:p>
        </w:tc>
        <w:tc>
          <w:tcPr>
            <w:tcW w:w="4002" w:type="dxa"/>
            <w:shd w:val="clear" w:color="auto" w:fill="2E74B5" w:themeFill="accent1" w:themeFillShade="BF"/>
          </w:tcPr>
          <w:p w14:paraId="2BE67C29" w14:textId="77777777" w:rsidR="00537935" w:rsidRPr="0041037C" w:rsidRDefault="00537935" w:rsidP="006C313A">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r w:rsidRPr="0041037C">
              <w:rPr>
                <w:rFonts w:ascii="Aptos" w:hAnsi="Aptos"/>
                <w:sz w:val="22"/>
              </w:rPr>
              <w:t>Authors' conclusion</w:t>
            </w:r>
          </w:p>
        </w:tc>
        <w:tc>
          <w:tcPr>
            <w:tcW w:w="1487" w:type="dxa"/>
            <w:shd w:val="clear" w:color="auto" w:fill="2E74B5" w:themeFill="accent1" w:themeFillShade="BF"/>
          </w:tcPr>
          <w:p w14:paraId="4435FE38" w14:textId="0B568835" w:rsidR="00537935" w:rsidRPr="00411A12" w:rsidRDefault="000A2DC5" w:rsidP="006C313A">
            <w:pPr>
              <w:jc w:val="center"/>
              <w:cnfStyle w:val="100000000000" w:firstRow="1" w:lastRow="0" w:firstColumn="0" w:lastColumn="0" w:oddVBand="0" w:evenVBand="0" w:oddHBand="0" w:evenHBand="0" w:firstRowFirstColumn="0" w:firstRowLastColumn="0" w:lastRowFirstColumn="0" w:lastRowLastColumn="0"/>
              <w:rPr>
                <w:rFonts w:ascii="Aptos" w:hAnsi="Aptos"/>
                <w:sz w:val="22"/>
                <w:lang w:val="en-US"/>
              </w:rPr>
            </w:pPr>
            <w:r w:rsidRPr="00411A12">
              <w:rPr>
                <w:rFonts w:ascii="Aptos" w:hAnsi="Aptos"/>
                <w:sz w:val="22"/>
                <w:lang w:val="en-US"/>
              </w:rPr>
              <w:t xml:space="preserve">SBU </w:t>
            </w:r>
            <w:r w:rsidR="00EE5CAE" w:rsidRPr="00411A12">
              <w:rPr>
                <w:rFonts w:ascii="Aptos" w:hAnsi="Aptos"/>
                <w:sz w:val="22"/>
                <w:lang w:val="en-US"/>
              </w:rPr>
              <w:t>As</w:t>
            </w:r>
            <w:r w:rsidRPr="00411A12">
              <w:rPr>
                <w:rFonts w:ascii="Aptos" w:hAnsi="Aptos"/>
                <w:sz w:val="22"/>
                <w:lang w:val="en-US"/>
              </w:rPr>
              <w:t>sess</w:t>
            </w:r>
            <w:r>
              <w:rPr>
                <w:rFonts w:ascii="Aptos" w:hAnsi="Aptos"/>
                <w:sz w:val="22"/>
                <w:lang w:val="en-US"/>
              </w:rPr>
              <w:t>ment</w:t>
            </w:r>
            <w:r w:rsidRPr="00411A12">
              <w:rPr>
                <w:rFonts w:ascii="Aptos" w:hAnsi="Aptos"/>
                <w:sz w:val="22"/>
                <w:lang w:val="en-US"/>
              </w:rPr>
              <w:br/>
            </w:r>
            <w:r w:rsidR="00537935" w:rsidRPr="00411A12">
              <w:rPr>
                <w:rFonts w:ascii="Aptos" w:hAnsi="Aptos"/>
                <w:sz w:val="22"/>
                <w:lang w:val="en-US"/>
              </w:rPr>
              <w:t xml:space="preserve">Risk of bias </w:t>
            </w:r>
          </w:p>
        </w:tc>
      </w:tr>
      <w:tr w:rsidR="00537935" w:rsidRPr="0041037C" w14:paraId="786DEC21" w14:textId="77777777" w:rsidTr="0791157E">
        <w:trPr>
          <w:cnfStyle w:val="000000100000" w:firstRow="0" w:lastRow="0" w:firstColumn="0" w:lastColumn="0" w:oddVBand="0" w:evenVBand="0" w:oddHBand="1" w:evenHBand="0" w:firstRowFirstColumn="0" w:firstRowLastColumn="0" w:lastRowFirstColumn="0" w:lastRowLastColumn="0"/>
          <w:trHeight w:hRule="exact" w:val="5002"/>
        </w:trPr>
        <w:tc>
          <w:tcPr>
            <w:cnfStyle w:val="001000000000" w:firstRow="0" w:lastRow="0" w:firstColumn="1" w:lastColumn="0" w:oddVBand="0" w:evenVBand="0" w:oddHBand="0" w:evenHBand="0" w:firstRowFirstColumn="0" w:firstRowLastColumn="0" w:lastRowFirstColumn="0" w:lastRowLastColumn="0"/>
            <w:tcW w:w="2672" w:type="dxa"/>
            <w:shd w:val="clear" w:color="auto" w:fill="EAEDF1"/>
          </w:tcPr>
          <w:p w14:paraId="0884B2BF" w14:textId="77777777" w:rsidR="00537935" w:rsidRPr="0041037C" w:rsidRDefault="00537935" w:rsidP="006C313A">
            <w:pPr>
              <w:rPr>
                <w:rFonts w:ascii="Aptos" w:hAnsi="Aptos"/>
                <w:b w:val="0"/>
                <w:bCs w:val="0"/>
                <w:sz w:val="22"/>
                <w:lang w:val="en-US"/>
              </w:rPr>
            </w:pPr>
            <w:r w:rsidRPr="0041037C">
              <w:rPr>
                <w:rFonts w:ascii="Aptos" w:hAnsi="Aptos"/>
                <w:b w:val="0"/>
                <w:bCs w:val="0"/>
                <w:sz w:val="22"/>
                <w:lang w:val="en-US"/>
              </w:rPr>
              <w:t>Kiely et al.</w:t>
            </w:r>
          </w:p>
          <w:p w14:paraId="65C9FF68" w14:textId="77777777" w:rsidR="00537935" w:rsidRPr="0041037C" w:rsidRDefault="00537935" w:rsidP="006C313A">
            <w:pPr>
              <w:rPr>
                <w:rFonts w:ascii="Aptos" w:hAnsi="Aptos"/>
                <w:b w:val="0"/>
                <w:bCs w:val="0"/>
                <w:sz w:val="22"/>
                <w:lang w:val="en-US"/>
              </w:rPr>
            </w:pPr>
            <w:r w:rsidRPr="0041037C">
              <w:rPr>
                <w:rFonts w:ascii="Aptos" w:hAnsi="Aptos"/>
                <w:b w:val="0"/>
                <w:bCs w:val="0"/>
                <w:sz w:val="22"/>
                <w:lang w:val="en-US"/>
              </w:rPr>
              <w:t>2022</w:t>
            </w:r>
          </w:p>
          <w:p w14:paraId="11583790" w14:textId="2DF9C70E" w:rsidR="00537935" w:rsidRPr="0041037C" w:rsidRDefault="003D0D4D" w:rsidP="006C313A">
            <w:pPr>
              <w:rPr>
                <w:rFonts w:ascii="Aptos" w:hAnsi="Aptos"/>
                <w:b w:val="0"/>
                <w:bCs w:val="0"/>
                <w:sz w:val="22"/>
                <w:lang w:val="en-US"/>
              </w:rPr>
            </w:pPr>
            <w:r w:rsidRPr="0041037C">
              <w:rPr>
                <w:rFonts w:ascii="Aptos" w:hAnsi="Aptos"/>
                <w:b w:val="0"/>
                <w:bCs w:val="0"/>
                <w:sz w:val="22"/>
                <w:lang w:val="en-US"/>
              </w:rPr>
              <w:t>Irelan</w:t>
            </w:r>
            <w:r w:rsidRPr="0041037C">
              <w:rPr>
                <w:rFonts w:ascii="Aptos" w:hAnsi="Aptos"/>
                <w:sz w:val="22"/>
                <w:lang w:val="en-US"/>
              </w:rPr>
              <w:t>d</w:t>
            </w:r>
          </w:p>
          <w:p w14:paraId="00584FAE" w14:textId="77777777" w:rsidR="00537935" w:rsidRPr="0041037C" w:rsidRDefault="00537935" w:rsidP="006C313A">
            <w:pPr>
              <w:rPr>
                <w:rFonts w:ascii="Aptos" w:hAnsi="Aptos"/>
                <w:sz w:val="22"/>
                <w:lang w:val="en-US"/>
              </w:rPr>
            </w:pPr>
            <w:r w:rsidRPr="0041037C">
              <w:rPr>
                <w:rFonts w:ascii="Aptos" w:hAnsi="Aptos"/>
                <w:b w:val="0"/>
                <w:bCs w:val="0"/>
                <w:noProof/>
                <w:sz w:val="22"/>
                <w:lang w:val="en-US"/>
              </w:rPr>
              <w:t>[1]</w:t>
            </w:r>
          </w:p>
        </w:tc>
        <w:tc>
          <w:tcPr>
            <w:tcW w:w="2765" w:type="dxa"/>
            <w:shd w:val="clear" w:color="auto" w:fill="EAEDF1"/>
          </w:tcPr>
          <w:p w14:paraId="56F57ACF"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To establish the evidence base for the effects on health outcomes and costs of social prescribing link workers (non-health or social care professionals who connect people to community resources) for people in community settings focusing on people experiencing multimorbidity and social deprivation</w:t>
            </w:r>
          </w:p>
        </w:tc>
        <w:tc>
          <w:tcPr>
            <w:tcW w:w="2710" w:type="dxa"/>
            <w:shd w:val="clear" w:color="auto" w:fill="EAEDF1"/>
          </w:tcPr>
          <w:p w14:paraId="227544AC"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A single practice, located in an area of deprivation (defined as serving two or more small areas rated as disadvantaged took part in the pilot.</w:t>
            </w:r>
          </w:p>
          <w:p w14:paraId="07D84AD0" w14:textId="7D1C1364"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 xml:space="preserve">15 eligible patients and their </w:t>
            </w:r>
            <w:r w:rsidR="00A67882">
              <w:rPr>
                <w:rFonts w:ascii="Aptos" w:hAnsi="Aptos"/>
                <w:sz w:val="22"/>
                <w:lang w:val="en-US"/>
              </w:rPr>
              <w:t>L</w:t>
            </w:r>
            <w:r w:rsidRPr="0041037C">
              <w:rPr>
                <w:rFonts w:ascii="Aptos" w:hAnsi="Aptos"/>
                <w:sz w:val="22"/>
                <w:lang w:val="en-US"/>
              </w:rPr>
              <w:t>inkworker.</w:t>
            </w:r>
          </w:p>
          <w:p w14:paraId="0FBAB640"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p w14:paraId="40D4EF78" w14:textId="746DBBE2" w:rsidR="00537935" w:rsidRPr="0041037C" w:rsidRDefault="00537935" w:rsidP="0041037C">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Number of included primary studies: 9</w:t>
            </w:r>
          </w:p>
        </w:tc>
        <w:tc>
          <w:tcPr>
            <w:tcW w:w="4002" w:type="dxa"/>
            <w:shd w:val="clear" w:color="auto" w:fill="EAEDF1"/>
          </w:tcPr>
          <w:p w14:paraId="43F3B399" w14:textId="3883B00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 xml:space="preserve">There is an absence of evidence for social prescribing link workers. Policymakers should note this </w:t>
            </w:r>
          </w:p>
          <w:p w14:paraId="773DC8B9" w14:textId="2F04D290"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and support evaluation of current programs before mainstreaming.</w:t>
            </w:r>
          </w:p>
        </w:tc>
        <w:tc>
          <w:tcPr>
            <w:tcW w:w="1487" w:type="dxa"/>
            <w:shd w:val="clear" w:color="auto" w:fill="EAEDF1"/>
          </w:tcPr>
          <w:p w14:paraId="184A60BD"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rPr>
            </w:pPr>
            <w:r w:rsidRPr="0041037C">
              <w:rPr>
                <w:rFonts w:ascii="Aptos" w:hAnsi="Aptos"/>
                <w:sz w:val="22"/>
              </w:rPr>
              <w:t>Low</w:t>
            </w:r>
          </w:p>
        </w:tc>
      </w:tr>
      <w:tr w:rsidR="00537935" w:rsidRPr="0041037C" w14:paraId="1B03356A" w14:textId="77777777" w:rsidTr="00411A12">
        <w:trPr>
          <w:trHeight w:hRule="exact" w:val="3124"/>
        </w:trPr>
        <w:tc>
          <w:tcPr>
            <w:cnfStyle w:val="001000000000" w:firstRow="0" w:lastRow="0" w:firstColumn="1" w:lastColumn="0" w:oddVBand="0" w:evenVBand="0" w:oddHBand="0" w:evenHBand="0" w:firstRowFirstColumn="0" w:firstRowLastColumn="0" w:lastRowFirstColumn="0" w:lastRowLastColumn="0"/>
            <w:tcW w:w="2672" w:type="dxa"/>
            <w:shd w:val="clear" w:color="auto" w:fill="EAEDF1"/>
          </w:tcPr>
          <w:p w14:paraId="47DE67EA" w14:textId="5F77C23C" w:rsidR="00537935" w:rsidRPr="0041037C" w:rsidRDefault="00537935" w:rsidP="006C313A">
            <w:pPr>
              <w:rPr>
                <w:rFonts w:ascii="Aptos" w:hAnsi="Aptos"/>
                <w:b w:val="0"/>
                <w:bCs w:val="0"/>
                <w:sz w:val="22"/>
              </w:rPr>
            </w:pPr>
            <w:r w:rsidRPr="0041037C">
              <w:rPr>
                <w:rFonts w:ascii="Aptos" w:hAnsi="Aptos"/>
                <w:b w:val="0"/>
                <w:bCs w:val="0"/>
                <w:sz w:val="22"/>
              </w:rPr>
              <w:lastRenderedPageBreak/>
              <w:t>Percival et al.</w:t>
            </w:r>
          </w:p>
          <w:p w14:paraId="3A45528D" w14:textId="77777777" w:rsidR="00537935" w:rsidRPr="0041037C" w:rsidRDefault="00537935" w:rsidP="006C313A">
            <w:pPr>
              <w:rPr>
                <w:rFonts w:ascii="Aptos" w:hAnsi="Aptos"/>
                <w:b w:val="0"/>
                <w:bCs w:val="0"/>
                <w:sz w:val="22"/>
              </w:rPr>
            </w:pPr>
            <w:r w:rsidRPr="0041037C">
              <w:rPr>
                <w:rFonts w:ascii="Aptos" w:hAnsi="Aptos"/>
                <w:b w:val="0"/>
                <w:bCs w:val="0"/>
                <w:sz w:val="22"/>
              </w:rPr>
              <w:t>2022</w:t>
            </w:r>
          </w:p>
          <w:p w14:paraId="107CBD33" w14:textId="1FEBF1C8" w:rsidR="00537935" w:rsidRPr="0041037C" w:rsidRDefault="003D0D4D" w:rsidP="006C313A">
            <w:pPr>
              <w:rPr>
                <w:rFonts w:ascii="Aptos" w:hAnsi="Aptos"/>
                <w:sz w:val="22"/>
              </w:rPr>
            </w:pPr>
            <w:r>
              <w:rPr>
                <w:rFonts w:ascii="Aptos" w:hAnsi="Aptos"/>
                <w:b w:val="0"/>
                <w:bCs w:val="0"/>
                <w:sz w:val="22"/>
              </w:rPr>
              <w:t>C</w:t>
            </w:r>
            <w:r w:rsidR="00537935" w:rsidRPr="0041037C">
              <w:rPr>
                <w:rFonts w:ascii="Aptos" w:hAnsi="Aptos"/>
                <w:b w:val="0"/>
                <w:bCs w:val="0"/>
                <w:sz w:val="22"/>
              </w:rPr>
              <w:t>anada</w:t>
            </w:r>
          </w:p>
          <w:p w14:paraId="1C72F611" w14:textId="3CCC660C" w:rsidR="00537935" w:rsidRPr="0041037C" w:rsidRDefault="00537935" w:rsidP="006C313A">
            <w:pPr>
              <w:rPr>
                <w:rFonts w:ascii="Aptos" w:hAnsi="Aptos"/>
                <w:b w:val="0"/>
                <w:bCs w:val="0"/>
                <w:sz w:val="22"/>
              </w:rPr>
            </w:pPr>
            <w:r w:rsidRPr="0041037C">
              <w:rPr>
                <w:rFonts w:ascii="Aptos" w:hAnsi="Aptos"/>
                <w:b w:val="0"/>
                <w:bCs w:val="0"/>
                <w:noProof/>
                <w:sz w:val="22"/>
              </w:rPr>
              <w:t>[</w:t>
            </w:r>
            <w:r w:rsidR="003D78A8">
              <w:rPr>
                <w:rFonts w:ascii="Aptos" w:hAnsi="Aptos"/>
                <w:b w:val="0"/>
                <w:bCs w:val="0"/>
                <w:noProof/>
                <w:sz w:val="22"/>
              </w:rPr>
              <w:t>2</w:t>
            </w:r>
            <w:r w:rsidRPr="0041037C">
              <w:rPr>
                <w:rFonts w:ascii="Aptos" w:hAnsi="Aptos"/>
                <w:b w:val="0"/>
                <w:bCs w:val="0"/>
                <w:noProof/>
                <w:sz w:val="22"/>
              </w:rPr>
              <w:t>]</w:t>
            </w:r>
          </w:p>
          <w:p w14:paraId="0156A7EC" w14:textId="77777777" w:rsidR="00537935" w:rsidRPr="0041037C" w:rsidRDefault="00537935" w:rsidP="006C313A">
            <w:pPr>
              <w:rPr>
                <w:rFonts w:ascii="Aptos" w:hAnsi="Aptos"/>
                <w:b w:val="0"/>
                <w:bCs w:val="0"/>
                <w:sz w:val="22"/>
              </w:rPr>
            </w:pPr>
          </w:p>
          <w:p w14:paraId="7474AF9F" w14:textId="77777777" w:rsidR="00537935" w:rsidRPr="0041037C" w:rsidRDefault="00537935" w:rsidP="006C313A">
            <w:pPr>
              <w:rPr>
                <w:rFonts w:ascii="Aptos" w:hAnsi="Aptos"/>
                <w:b w:val="0"/>
                <w:bCs w:val="0"/>
                <w:sz w:val="22"/>
              </w:rPr>
            </w:pPr>
          </w:p>
          <w:p w14:paraId="3B824B04" w14:textId="77777777" w:rsidR="00537935" w:rsidRPr="0041037C" w:rsidRDefault="00537935" w:rsidP="006C313A">
            <w:pPr>
              <w:rPr>
                <w:rFonts w:ascii="Aptos" w:hAnsi="Aptos"/>
                <w:b w:val="0"/>
                <w:bCs w:val="0"/>
                <w:sz w:val="22"/>
              </w:rPr>
            </w:pPr>
          </w:p>
        </w:tc>
        <w:tc>
          <w:tcPr>
            <w:tcW w:w="2765" w:type="dxa"/>
            <w:shd w:val="clear" w:color="auto" w:fill="EAEDF1"/>
          </w:tcPr>
          <w:p w14:paraId="1084BF2F" w14:textId="77777777" w:rsidR="00537935" w:rsidRPr="0041037C" w:rsidRDefault="00537935" w:rsidP="006C313A">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41037C">
              <w:rPr>
                <w:rFonts w:ascii="Aptos" w:hAnsi="Aptos"/>
                <w:sz w:val="22"/>
                <w:lang w:val="en-US"/>
              </w:rPr>
              <w:t>The purpose of this systematic review was to synthesize the effect of social prescribing for older adults within primary care.</w:t>
            </w:r>
          </w:p>
        </w:tc>
        <w:tc>
          <w:tcPr>
            <w:tcW w:w="2710" w:type="dxa"/>
            <w:shd w:val="clear" w:color="auto" w:fill="EAEDF1"/>
          </w:tcPr>
          <w:p w14:paraId="4FA722AC" w14:textId="77777777" w:rsidR="00537935" w:rsidRPr="0041037C" w:rsidRDefault="00537935" w:rsidP="006C313A">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41037C">
              <w:rPr>
                <w:rFonts w:ascii="Aptos" w:hAnsi="Aptos"/>
                <w:sz w:val="22"/>
                <w:lang w:val="en-US"/>
              </w:rPr>
              <w:t xml:space="preserve">For studies that reported </w:t>
            </w:r>
          </w:p>
          <w:p w14:paraId="59EA0DF4" w14:textId="77777777" w:rsidR="00537935" w:rsidRPr="0041037C" w:rsidRDefault="00537935" w:rsidP="006C313A">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41037C">
              <w:rPr>
                <w:rFonts w:ascii="Aptos" w:hAnsi="Aptos"/>
                <w:sz w:val="22"/>
                <w:lang w:val="en-US"/>
              </w:rPr>
              <w:t>mean age (n=5), the mean (SD) age was 76.1 (4.0) years,7 studies included.</w:t>
            </w:r>
          </w:p>
          <w:p w14:paraId="032631F2" w14:textId="77777777" w:rsidR="00537935" w:rsidRPr="0041037C" w:rsidRDefault="00537935" w:rsidP="006C313A">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p>
          <w:p w14:paraId="6B56BE65" w14:textId="77777777" w:rsidR="00537935" w:rsidRPr="0041037C" w:rsidRDefault="00537935" w:rsidP="006C313A">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41037C">
              <w:rPr>
                <w:rFonts w:ascii="Aptos" w:hAnsi="Aptos"/>
                <w:sz w:val="22"/>
                <w:lang w:val="en-US"/>
              </w:rPr>
              <w:t>Number of primary studies: 7</w:t>
            </w:r>
          </w:p>
        </w:tc>
        <w:tc>
          <w:tcPr>
            <w:tcW w:w="4002" w:type="dxa"/>
            <w:shd w:val="clear" w:color="auto" w:fill="EAEDF1"/>
          </w:tcPr>
          <w:p w14:paraId="308D9337" w14:textId="278AA1DC" w:rsidR="00537935" w:rsidRPr="0041037C" w:rsidRDefault="00537935" w:rsidP="00411A12">
            <w:pPr>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41037C">
              <w:rPr>
                <w:rFonts w:ascii="Aptos" w:hAnsi="Aptos"/>
                <w:sz w:val="22"/>
                <w:lang w:val="en-US"/>
              </w:rPr>
              <w:t xml:space="preserve">There were few peer-reviewed studies available for social prescribing and older adults. </w:t>
            </w:r>
          </w:p>
        </w:tc>
        <w:tc>
          <w:tcPr>
            <w:tcW w:w="1487" w:type="dxa"/>
            <w:shd w:val="clear" w:color="auto" w:fill="EAEDF1"/>
          </w:tcPr>
          <w:p w14:paraId="42557993" w14:textId="77777777" w:rsidR="00537935" w:rsidRPr="0041037C" w:rsidRDefault="00537935" w:rsidP="006C313A">
            <w:pPr>
              <w:cnfStyle w:val="000000000000" w:firstRow="0" w:lastRow="0" w:firstColumn="0" w:lastColumn="0" w:oddVBand="0" w:evenVBand="0" w:oddHBand="0" w:evenHBand="0" w:firstRowFirstColumn="0" w:firstRowLastColumn="0" w:lastRowFirstColumn="0" w:lastRowLastColumn="0"/>
              <w:rPr>
                <w:rFonts w:ascii="Aptos" w:hAnsi="Aptos"/>
                <w:sz w:val="22"/>
              </w:rPr>
            </w:pPr>
            <w:r w:rsidRPr="0041037C">
              <w:rPr>
                <w:rFonts w:ascii="Aptos" w:hAnsi="Aptos"/>
                <w:sz w:val="22"/>
              </w:rPr>
              <w:t>Moderate</w:t>
            </w:r>
          </w:p>
          <w:p w14:paraId="6425D903" w14:textId="77777777" w:rsidR="00537935" w:rsidRPr="0041037C" w:rsidRDefault="00537935" w:rsidP="006C313A">
            <w:pPr>
              <w:cnfStyle w:val="000000000000" w:firstRow="0" w:lastRow="0" w:firstColumn="0" w:lastColumn="0" w:oddVBand="0" w:evenVBand="0" w:oddHBand="0" w:evenHBand="0" w:firstRowFirstColumn="0" w:firstRowLastColumn="0" w:lastRowFirstColumn="0" w:lastRowLastColumn="0"/>
              <w:rPr>
                <w:rFonts w:ascii="Aptos" w:hAnsi="Aptos"/>
                <w:sz w:val="22"/>
              </w:rPr>
            </w:pPr>
          </w:p>
        </w:tc>
      </w:tr>
      <w:tr w:rsidR="00537935" w:rsidRPr="0041037C" w14:paraId="5626A6C6" w14:textId="77777777" w:rsidTr="000A17AE">
        <w:trPr>
          <w:cnfStyle w:val="000000100000" w:firstRow="0" w:lastRow="0" w:firstColumn="0" w:lastColumn="0" w:oddVBand="0" w:evenVBand="0" w:oddHBand="1" w:evenHBand="0" w:firstRowFirstColumn="0" w:firstRowLastColumn="0" w:lastRowFirstColumn="0" w:lastRowLastColumn="0"/>
          <w:trHeight w:hRule="exact" w:val="2263"/>
        </w:trPr>
        <w:tc>
          <w:tcPr>
            <w:cnfStyle w:val="001000000000" w:firstRow="0" w:lastRow="0" w:firstColumn="1" w:lastColumn="0" w:oddVBand="0" w:evenVBand="0" w:oddHBand="0" w:evenHBand="0" w:firstRowFirstColumn="0" w:firstRowLastColumn="0" w:lastRowFirstColumn="0" w:lastRowLastColumn="0"/>
            <w:tcW w:w="2672" w:type="dxa"/>
            <w:shd w:val="clear" w:color="auto" w:fill="auto"/>
          </w:tcPr>
          <w:p w14:paraId="6524D782" w14:textId="732F3430" w:rsidR="00537935" w:rsidRPr="008A2A6B" w:rsidRDefault="00537935" w:rsidP="006C313A">
            <w:pPr>
              <w:rPr>
                <w:rFonts w:ascii="Aptos" w:hAnsi="Aptos"/>
                <w:b w:val="0"/>
                <w:bCs w:val="0"/>
                <w:sz w:val="22"/>
              </w:rPr>
            </w:pPr>
            <w:r w:rsidRPr="0041037C">
              <w:rPr>
                <w:rFonts w:ascii="Aptos" w:hAnsi="Aptos"/>
                <w:b w:val="0"/>
                <w:bCs w:val="0"/>
                <w:sz w:val="22"/>
                <w:lang w:val="en-US"/>
              </w:rPr>
              <w:t>Sadio et al.</w:t>
            </w:r>
          </w:p>
          <w:p w14:paraId="516C7250" w14:textId="77777777" w:rsidR="00537935" w:rsidRPr="0041037C" w:rsidRDefault="00537935" w:rsidP="006C313A">
            <w:pPr>
              <w:rPr>
                <w:rFonts w:ascii="Aptos" w:hAnsi="Aptos"/>
                <w:b w:val="0"/>
                <w:bCs w:val="0"/>
                <w:sz w:val="22"/>
                <w:lang w:val="en-US"/>
              </w:rPr>
            </w:pPr>
            <w:r w:rsidRPr="0041037C">
              <w:rPr>
                <w:rFonts w:ascii="Aptos" w:hAnsi="Aptos"/>
                <w:b w:val="0"/>
                <w:bCs w:val="0"/>
                <w:sz w:val="22"/>
                <w:lang w:val="en-US"/>
              </w:rPr>
              <w:t>2024</w:t>
            </w:r>
          </w:p>
          <w:p w14:paraId="486A49F8" w14:textId="77777777" w:rsidR="00537935" w:rsidRPr="0041037C" w:rsidRDefault="00537935" w:rsidP="006C313A">
            <w:pPr>
              <w:rPr>
                <w:rFonts w:ascii="Aptos" w:hAnsi="Aptos"/>
                <w:sz w:val="22"/>
                <w:lang w:val="en-US"/>
              </w:rPr>
            </w:pPr>
            <w:r w:rsidRPr="0041037C">
              <w:rPr>
                <w:rFonts w:ascii="Aptos" w:hAnsi="Aptos"/>
                <w:b w:val="0"/>
                <w:bCs w:val="0"/>
                <w:sz w:val="22"/>
                <w:lang w:val="en-US"/>
              </w:rPr>
              <w:t>Portugal</w:t>
            </w:r>
          </w:p>
          <w:p w14:paraId="30A47FF1" w14:textId="5670C141" w:rsidR="00537935" w:rsidRPr="0041037C" w:rsidRDefault="00537935" w:rsidP="006C313A">
            <w:pPr>
              <w:rPr>
                <w:rFonts w:ascii="Aptos" w:hAnsi="Aptos"/>
                <w:b w:val="0"/>
                <w:bCs w:val="0"/>
                <w:sz w:val="22"/>
                <w:lang w:val="en-US"/>
              </w:rPr>
            </w:pPr>
            <w:r w:rsidRPr="0041037C">
              <w:rPr>
                <w:rFonts w:ascii="Aptos" w:hAnsi="Aptos"/>
                <w:b w:val="0"/>
                <w:bCs w:val="0"/>
                <w:noProof/>
                <w:sz w:val="22"/>
                <w:lang w:val="en-US"/>
              </w:rPr>
              <w:t>[</w:t>
            </w:r>
            <w:r w:rsidR="003D78A8">
              <w:rPr>
                <w:rFonts w:ascii="Aptos" w:hAnsi="Aptos"/>
                <w:b w:val="0"/>
                <w:bCs w:val="0"/>
                <w:noProof/>
                <w:sz w:val="22"/>
                <w:lang w:val="en-US"/>
              </w:rPr>
              <w:t>3</w:t>
            </w:r>
            <w:r w:rsidRPr="0041037C">
              <w:rPr>
                <w:rFonts w:ascii="Aptos" w:hAnsi="Aptos"/>
                <w:b w:val="0"/>
                <w:bCs w:val="0"/>
                <w:noProof/>
                <w:sz w:val="22"/>
                <w:lang w:val="en-US"/>
              </w:rPr>
              <w:t>]</w:t>
            </w:r>
          </w:p>
        </w:tc>
        <w:tc>
          <w:tcPr>
            <w:tcW w:w="2765" w:type="dxa"/>
            <w:shd w:val="clear" w:color="auto" w:fill="auto"/>
          </w:tcPr>
          <w:p w14:paraId="31CD1A04"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This scoping review aimed to identify the social prescription activities that exist for the elderly in a community context.</w:t>
            </w:r>
          </w:p>
        </w:tc>
        <w:tc>
          <w:tcPr>
            <w:tcW w:w="2710" w:type="dxa"/>
            <w:shd w:val="clear" w:color="auto" w:fill="auto"/>
          </w:tcPr>
          <w:p w14:paraId="246BE0A6"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Mean age 60 years or over.</w:t>
            </w:r>
          </w:p>
          <w:p w14:paraId="599607EF"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p w14:paraId="7DC07B10" w14:textId="77777777" w:rsidR="00537935"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Number of included primary studies: 9</w:t>
            </w:r>
          </w:p>
          <w:p w14:paraId="6BBB4E89" w14:textId="64DC42FF" w:rsidR="00842028" w:rsidRPr="0041037C" w:rsidRDefault="00842028"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4002" w:type="dxa"/>
            <w:shd w:val="clear" w:color="auto" w:fill="auto"/>
          </w:tcPr>
          <w:p w14:paraId="0BC0E17F" w14:textId="6569A0C4"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41037C">
              <w:rPr>
                <w:rFonts w:ascii="Aptos" w:hAnsi="Aptos"/>
                <w:sz w:val="22"/>
                <w:lang w:val="en-US"/>
              </w:rPr>
              <w:t>This review aimed to identify the social prescription activities that exist for the elderly in a community context. The primary areas of action identified encompassed artistic, sports, personal development, gardening, social interaction, and technological and cultural activities.</w:t>
            </w:r>
          </w:p>
        </w:tc>
        <w:tc>
          <w:tcPr>
            <w:tcW w:w="1487" w:type="dxa"/>
            <w:shd w:val="clear" w:color="auto" w:fill="auto"/>
          </w:tcPr>
          <w:p w14:paraId="01978534"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rPr>
            </w:pPr>
            <w:r w:rsidRPr="0041037C">
              <w:rPr>
                <w:rFonts w:ascii="Aptos" w:hAnsi="Aptos"/>
                <w:sz w:val="22"/>
              </w:rPr>
              <w:t>Moderate</w:t>
            </w:r>
          </w:p>
          <w:p w14:paraId="2CDDDAFB" w14:textId="77777777" w:rsidR="00537935" w:rsidRPr="0041037C" w:rsidRDefault="00537935" w:rsidP="006C313A">
            <w:pPr>
              <w:cnfStyle w:val="000000100000" w:firstRow="0" w:lastRow="0" w:firstColumn="0" w:lastColumn="0" w:oddVBand="0" w:evenVBand="0" w:oddHBand="1" w:evenHBand="0" w:firstRowFirstColumn="0" w:firstRowLastColumn="0" w:lastRowFirstColumn="0" w:lastRowLastColumn="0"/>
              <w:rPr>
                <w:rFonts w:ascii="Aptos" w:hAnsi="Aptos"/>
                <w:sz w:val="22"/>
              </w:rPr>
            </w:pPr>
          </w:p>
        </w:tc>
      </w:tr>
    </w:tbl>
    <w:p w14:paraId="23D8EC3C" w14:textId="77777777" w:rsidR="00537935" w:rsidRDefault="00537935" w:rsidP="00537935"/>
    <w:p w14:paraId="53EB83FA" w14:textId="429787CB" w:rsidR="00537935" w:rsidRDefault="00AA0A26" w:rsidP="00537935">
      <w:pPr>
        <w:pStyle w:val="Rubrik2"/>
      </w:pPr>
      <w:r>
        <w:t>Referenser</w:t>
      </w:r>
    </w:p>
    <w:p w14:paraId="73EB5BB4" w14:textId="04746502" w:rsidR="00537935" w:rsidRPr="0015716C" w:rsidRDefault="00537935" w:rsidP="009B2908">
      <w:pPr>
        <w:pStyle w:val="EndNoteBibliography"/>
        <w:spacing w:after="0"/>
        <w:ind w:left="720" w:hanging="720"/>
      </w:pPr>
      <w:r w:rsidRPr="0015716C">
        <w:t>1.</w:t>
      </w:r>
      <w:r w:rsidRPr="0015716C">
        <w:tab/>
        <w:t xml:space="preserve">Kiely B, Croke A, Shea M, Boland F, Shea E, Connolly D, et al. Effect of social prescribing link workers on health outcomes and costs for adults in primary care and community settings: a systematic review. BMJ Open. 2022;12(10):e062951. Available from: </w:t>
      </w:r>
      <w:r w:rsidRPr="00074848">
        <w:t>https://doi.org/10.1136/bmjopen-2022-062951</w:t>
      </w:r>
    </w:p>
    <w:p w14:paraId="2729FB68" w14:textId="5ACEA15F" w:rsidR="00537935" w:rsidRPr="0015716C" w:rsidRDefault="009B2908" w:rsidP="00537935">
      <w:pPr>
        <w:pStyle w:val="EndNoteBibliography"/>
        <w:spacing w:after="0"/>
        <w:ind w:left="720" w:hanging="720"/>
      </w:pPr>
      <w:r>
        <w:t>2</w:t>
      </w:r>
      <w:r w:rsidR="00537935" w:rsidRPr="0015716C">
        <w:t>.</w:t>
      </w:r>
      <w:r w:rsidR="00537935" w:rsidRPr="0015716C">
        <w:tab/>
        <w:t xml:space="preserve">Percival A, Newton C, Mulligan K, Petrella RJ, Ashe MC. Systematic review of social prescribing and older adults: where to from here? Fam Med Community Health. 2022;10. Available from: </w:t>
      </w:r>
      <w:r w:rsidR="00537935" w:rsidRPr="00074848">
        <w:t>https://doi.org/10.1136/fmch-2022-001829</w:t>
      </w:r>
    </w:p>
    <w:p w14:paraId="095D7F8B" w14:textId="7C7CB1D5" w:rsidR="003D0238" w:rsidRPr="00537935" w:rsidRDefault="009B2908" w:rsidP="009B2908">
      <w:pPr>
        <w:pStyle w:val="EndNoteBibliography"/>
        <w:ind w:left="720" w:hanging="720"/>
        <w:rPr>
          <w:sz w:val="2"/>
          <w:szCs w:val="2"/>
          <w:lang w:val="en-GB"/>
        </w:rPr>
      </w:pPr>
      <w:r>
        <w:t>3</w:t>
      </w:r>
      <w:r w:rsidR="00537935" w:rsidRPr="0015716C">
        <w:t>.</w:t>
      </w:r>
      <w:r w:rsidR="00537935" w:rsidRPr="0015716C">
        <w:tab/>
        <w:t xml:space="preserve">Sadio R, Henriques A, Nogueira P, Costa A. Social prescription for the elderly: a community-based scoping review. Prim Health Care Res Dev. 2024;25:e46. Available from: </w:t>
      </w:r>
      <w:r w:rsidR="00537935" w:rsidRPr="00074848">
        <w:t>https://doi.org/10.1017/S1463423624000410</w:t>
      </w:r>
    </w:p>
    <w:p w14:paraId="62F2BC47" w14:textId="77777777" w:rsidR="003D0238" w:rsidRPr="00537935" w:rsidRDefault="003D0238" w:rsidP="003D0238">
      <w:pPr>
        <w:rPr>
          <w:sz w:val="2"/>
          <w:szCs w:val="2"/>
          <w:lang w:val="en-GB"/>
        </w:rPr>
      </w:pPr>
    </w:p>
    <w:p w14:paraId="39FE6939" w14:textId="6A770BA2" w:rsidR="003D0238" w:rsidRPr="00537935" w:rsidRDefault="003D0238" w:rsidP="003D0238">
      <w:pPr>
        <w:tabs>
          <w:tab w:val="left" w:pos="8028"/>
        </w:tabs>
        <w:rPr>
          <w:sz w:val="2"/>
          <w:szCs w:val="2"/>
          <w:lang w:val="en-GB"/>
        </w:rPr>
      </w:pPr>
    </w:p>
    <w:p w14:paraId="7017790F" w14:textId="77777777" w:rsidR="003D0238" w:rsidRPr="00537935" w:rsidRDefault="003D0238" w:rsidP="003D0238">
      <w:pPr>
        <w:rPr>
          <w:sz w:val="2"/>
          <w:szCs w:val="2"/>
          <w:lang w:val="en-GB"/>
        </w:rPr>
      </w:pPr>
    </w:p>
    <w:sectPr w:rsidR="003D0238" w:rsidRPr="00537935" w:rsidSect="00AA0A26">
      <w:headerReference w:type="default" r:id="rId11"/>
      <w:headerReference w:type="first" r:id="rId12"/>
      <w:footerReference w:type="first" r:id="rId13"/>
      <w:pgSz w:w="16838" w:h="11906" w:orient="landscape"/>
      <w:pgMar w:top="1417" w:right="1985"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9734" w14:textId="77777777" w:rsidR="008A5119" w:rsidRDefault="008A5119" w:rsidP="009164B5">
      <w:pPr>
        <w:spacing w:after="0"/>
      </w:pPr>
      <w:r>
        <w:separator/>
      </w:r>
    </w:p>
  </w:endnote>
  <w:endnote w:type="continuationSeparator" w:id="0">
    <w:p w14:paraId="0747625A" w14:textId="77777777" w:rsidR="008A5119" w:rsidRDefault="008A5119" w:rsidP="009164B5">
      <w:pPr>
        <w:spacing w:after="0"/>
      </w:pPr>
      <w:r>
        <w:continuationSeparator/>
      </w:r>
    </w:p>
  </w:endnote>
  <w:endnote w:type="continuationNotice" w:id="1">
    <w:p w14:paraId="609DFA53" w14:textId="77777777" w:rsidR="008A5119" w:rsidRDefault="008A5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2"/>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0"/>
    </w:tblGrid>
    <w:tr w:rsidR="0016055F" w:rsidRPr="009164B5" w14:paraId="7E5997E2" w14:textId="77777777" w:rsidTr="00B12E2F">
      <w:tc>
        <w:tcPr>
          <w:tcW w:w="8510" w:type="dxa"/>
        </w:tcPr>
        <w:p w14:paraId="2F5C2DE6" w14:textId="77777777" w:rsidR="0016055F" w:rsidRPr="009164B5" w:rsidRDefault="0016055F" w:rsidP="0016055F">
          <w:pPr>
            <w:ind w:right="-1134"/>
            <w:rPr>
              <w:rFonts w:ascii="Calibri" w:eastAsia="Times New Roman" w:hAnsi="Calibri" w:cs="Times New Roman"/>
              <w:sz w:val="18"/>
            </w:rPr>
          </w:pPr>
        </w:p>
      </w:tc>
    </w:tr>
  </w:tbl>
  <w:p w14:paraId="4E24B64E" w14:textId="77777777" w:rsidR="0016055F" w:rsidRPr="007C1505" w:rsidRDefault="0016055F" w:rsidP="007C1505">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F9D1" w14:textId="77777777" w:rsidR="008A5119" w:rsidRDefault="008A5119" w:rsidP="009164B5">
      <w:pPr>
        <w:spacing w:after="0"/>
      </w:pPr>
      <w:r>
        <w:separator/>
      </w:r>
    </w:p>
  </w:footnote>
  <w:footnote w:type="continuationSeparator" w:id="0">
    <w:p w14:paraId="6E36743D" w14:textId="77777777" w:rsidR="008A5119" w:rsidRDefault="008A5119" w:rsidP="009164B5">
      <w:pPr>
        <w:spacing w:after="0"/>
      </w:pPr>
      <w:r>
        <w:continuationSeparator/>
      </w:r>
    </w:p>
  </w:footnote>
  <w:footnote w:type="continuationNotice" w:id="1">
    <w:p w14:paraId="7FFD7654" w14:textId="77777777" w:rsidR="008A5119" w:rsidRDefault="008A5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4061"/>
      <w:gridCol w:w="5664"/>
    </w:tblGrid>
    <w:tr w:rsidR="0016055F" w:rsidRPr="009164B5" w14:paraId="697C0886" w14:textId="77777777" w:rsidTr="00397D04">
      <w:tc>
        <w:tcPr>
          <w:tcW w:w="4450" w:type="dxa"/>
        </w:tcPr>
        <w:p w14:paraId="68BC00AE" w14:textId="77777777" w:rsidR="0016055F" w:rsidRPr="009164B5" w:rsidRDefault="0016055F" w:rsidP="009164B5">
          <w:pPr>
            <w:rPr>
              <w:rFonts w:ascii="Calibri" w:eastAsia="Times New Roman" w:hAnsi="Calibri" w:cs="Times New Roman"/>
              <w:sz w:val="18"/>
            </w:rPr>
          </w:pPr>
          <w:bookmarkStart w:id="0" w:name="bkmLogo1True"/>
          <w:bookmarkEnd w:id="0"/>
        </w:p>
      </w:tc>
      <w:tc>
        <w:tcPr>
          <w:tcW w:w="4061" w:type="dxa"/>
        </w:tcPr>
        <w:p w14:paraId="0F72FB24" w14:textId="77777777" w:rsidR="0016055F" w:rsidRPr="009164B5" w:rsidRDefault="0016055F" w:rsidP="009164B5">
          <w:pPr>
            <w:keepNext/>
            <w:spacing w:before="60"/>
            <w:rPr>
              <w:rFonts w:ascii="Calibri" w:eastAsia="Times New Roman" w:hAnsi="Calibri" w:cs="Times New Roman"/>
              <w:b/>
              <w:kern w:val="32"/>
              <w:sz w:val="32"/>
              <w:szCs w:val="52"/>
            </w:rPr>
          </w:pPr>
          <w:bookmarkStart w:id="1" w:name="bkmDocName"/>
          <w:bookmarkEnd w:id="1"/>
        </w:p>
      </w:tc>
      <w:tc>
        <w:tcPr>
          <w:tcW w:w="5664" w:type="dxa"/>
        </w:tcPr>
        <w:p w14:paraId="49194515" w14:textId="77777777" w:rsidR="0016055F" w:rsidRPr="009164B5" w:rsidRDefault="0016055F" w:rsidP="009164B5">
          <w:pPr>
            <w:spacing w:before="160"/>
            <w:jc w:val="right"/>
            <w:rPr>
              <w:rFonts w:ascii="Times New Roman" w:eastAsia="Times New Roman" w:hAnsi="Times New Roman" w:cs="Times New Roman"/>
            </w:rPr>
          </w:pP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PAGE   \* MERGEFORMAT</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 xml:space="preserve"> (</w:t>
          </w: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 xml:space="preserve"> NUMPAGES   \* MERGEFORMAT </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w:t>
          </w:r>
        </w:p>
      </w:tc>
    </w:tr>
  </w:tbl>
  <w:p w14:paraId="565FEAF9" w14:textId="77777777" w:rsidR="009164B5" w:rsidRPr="0016055F" w:rsidRDefault="009164B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371"/>
      <w:gridCol w:w="2835"/>
      <w:gridCol w:w="3969"/>
    </w:tblGrid>
    <w:tr w:rsidR="00B94B5C" w:rsidRPr="009164B5" w14:paraId="14B1ED30" w14:textId="77777777" w:rsidTr="00537935">
      <w:tc>
        <w:tcPr>
          <w:tcW w:w="7371" w:type="dxa"/>
          <w:vMerge w:val="restart"/>
        </w:tcPr>
        <w:p w14:paraId="29B4F567" w14:textId="77777777" w:rsidR="00B94B5C" w:rsidRPr="009164B5" w:rsidRDefault="00AB3485" w:rsidP="0016055F">
          <w:pPr>
            <w:rPr>
              <w:rFonts w:ascii="Calibri" w:eastAsia="Times New Roman" w:hAnsi="Calibri" w:cs="Times New Roman"/>
              <w:sz w:val="18"/>
            </w:rPr>
          </w:pPr>
          <w:r>
            <w:rPr>
              <w:noProof/>
            </w:rPr>
            <w:drawing>
              <wp:inline distT="0" distB="0" distL="0" distR="0" wp14:anchorId="5B4DAC0D" wp14:editId="4DCE6290">
                <wp:extent cx="1836420" cy="678042"/>
                <wp:effectExtent l="0" t="0" r="0" b="8255"/>
                <wp:docPr id="1" name="Bildobjekt 1" descr="SBU: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BU:s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106" cy="686787"/>
                        </a:xfrm>
                        <a:prstGeom prst="rect">
                          <a:avLst/>
                        </a:prstGeom>
                        <a:noFill/>
                        <a:ln>
                          <a:noFill/>
                        </a:ln>
                      </pic:spPr>
                    </pic:pic>
                  </a:graphicData>
                </a:graphic>
              </wp:inline>
            </w:drawing>
          </w:r>
        </w:p>
      </w:tc>
      <w:tc>
        <w:tcPr>
          <w:tcW w:w="2835" w:type="dxa"/>
        </w:tcPr>
        <w:p w14:paraId="1E37397A" w14:textId="77777777" w:rsidR="00B94B5C" w:rsidRPr="007C1505" w:rsidRDefault="008448F8" w:rsidP="007C1505">
          <w:pPr>
            <w:pStyle w:val="RubrikSidhuvud"/>
          </w:pPr>
          <w:r>
            <w:t>Bilaga till rapport</w:t>
          </w:r>
        </w:p>
      </w:tc>
      <w:tc>
        <w:tcPr>
          <w:tcW w:w="3969" w:type="dxa"/>
        </w:tcPr>
        <w:p w14:paraId="47A4B49E" w14:textId="77777777" w:rsidR="00B94B5C" w:rsidRPr="009164B5" w:rsidRDefault="00B94B5C" w:rsidP="006F3DB9">
          <w:pPr>
            <w:jc w:val="right"/>
          </w:pPr>
          <w:r w:rsidRPr="009164B5">
            <w:fldChar w:fldCharType="begin"/>
          </w:r>
          <w:r w:rsidRPr="009164B5">
            <w:instrText>PAGE   \* MERGEFORMAT</w:instrText>
          </w:r>
          <w:r w:rsidRPr="009164B5">
            <w:fldChar w:fldCharType="separate"/>
          </w:r>
          <w:r w:rsidR="0035306C">
            <w:rPr>
              <w:noProof/>
            </w:rPr>
            <w:t>1</w:t>
          </w:r>
          <w:r w:rsidRPr="009164B5">
            <w:fldChar w:fldCharType="end"/>
          </w:r>
          <w:r w:rsidRPr="009164B5">
            <w:t xml:space="preserve"> (</w:t>
          </w:r>
          <w:fldSimple w:instr=" NUMPAGES   \* MERGEFORMAT ">
            <w:r w:rsidR="0035306C">
              <w:rPr>
                <w:noProof/>
              </w:rPr>
              <w:t>1</w:t>
            </w:r>
          </w:fldSimple>
          <w:r w:rsidRPr="009164B5">
            <w:t>)</w:t>
          </w:r>
        </w:p>
      </w:tc>
    </w:tr>
    <w:tr w:rsidR="008448F8" w:rsidRPr="009164B5" w14:paraId="5275A110" w14:textId="77777777" w:rsidTr="00537935">
      <w:trPr>
        <w:trHeight w:val="596"/>
      </w:trPr>
      <w:tc>
        <w:tcPr>
          <w:tcW w:w="7371" w:type="dxa"/>
          <w:vMerge/>
        </w:tcPr>
        <w:p w14:paraId="08E51179" w14:textId="77777777" w:rsidR="008448F8" w:rsidRPr="009164B5" w:rsidRDefault="008448F8" w:rsidP="0016055F">
          <w:pPr>
            <w:rPr>
              <w:rFonts w:ascii="Calibri" w:eastAsia="Times New Roman" w:hAnsi="Calibri" w:cs="Times New Roman"/>
              <w:sz w:val="18"/>
            </w:rPr>
          </w:pPr>
        </w:p>
      </w:tc>
      <w:tc>
        <w:tcPr>
          <w:tcW w:w="6804" w:type="dxa"/>
          <w:gridSpan w:val="2"/>
        </w:tcPr>
        <w:p w14:paraId="56DC09ED" w14:textId="4B041B3C" w:rsidR="008448F8" w:rsidRPr="008448F8" w:rsidRDefault="00537935" w:rsidP="00606706">
          <w:pPr>
            <w:pStyle w:val="Ledtextsidhuvud"/>
            <w:ind w:right="0"/>
            <w:rPr>
              <w:sz w:val="24"/>
            </w:rPr>
          </w:pPr>
          <w:r w:rsidRPr="001C47F1">
            <w:rPr>
              <w:sz w:val="24"/>
            </w:rPr>
            <w:t>Förstudie om öppna mötesplatser och möjligheter att nå svårnådda äldre personer med fokus på social förskrivning</w:t>
          </w:r>
          <w:r w:rsidRPr="008448F8">
            <w:rPr>
              <w:sz w:val="24"/>
            </w:rPr>
            <w:t xml:space="preserve">, rapport </w:t>
          </w:r>
          <w:r>
            <w:rPr>
              <w:sz w:val="24"/>
            </w:rPr>
            <w:t>diarienummer SBU 2025/63</w:t>
          </w:r>
        </w:p>
      </w:tc>
    </w:tr>
    <w:tr w:rsidR="0035306C" w:rsidRPr="009164B5" w14:paraId="13211539" w14:textId="77777777" w:rsidTr="00537935">
      <w:trPr>
        <w:trHeight w:val="596"/>
      </w:trPr>
      <w:tc>
        <w:tcPr>
          <w:tcW w:w="7371" w:type="dxa"/>
        </w:tcPr>
        <w:p w14:paraId="05B0C619" w14:textId="77777777" w:rsidR="0035306C" w:rsidRPr="009164B5" w:rsidRDefault="0035306C" w:rsidP="0016055F">
          <w:pPr>
            <w:rPr>
              <w:rFonts w:ascii="Calibri" w:eastAsia="Times New Roman" w:hAnsi="Calibri" w:cs="Times New Roman"/>
              <w:sz w:val="18"/>
            </w:rPr>
          </w:pPr>
        </w:p>
      </w:tc>
      <w:tc>
        <w:tcPr>
          <w:tcW w:w="6804" w:type="dxa"/>
          <w:gridSpan w:val="2"/>
        </w:tcPr>
        <w:p w14:paraId="69AC540B" w14:textId="77777777" w:rsidR="0035306C" w:rsidRPr="008448F8" w:rsidRDefault="0035306C" w:rsidP="00606706">
          <w:pPr>
            <w:pStyle w:val="Ledtextsidhuvud"/>
            <w:ind w:right="0"/>
            <w:rPr>
              <w:sz w:val="24"/>
            </w:rPr>
          </w:pPr>
        </w:p>
      </w:tc>
    </w:tr>
  </w:tbl>
  <w:p w14:paraId="7737DC68" w14:textId="77777777" w:rsidR="0016055F" w:rsidRPr="0016055F" w:rsidRDefault="0016055F">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00FA0E"/>
    <w:lvl w:ilvl="0">
      <w:start w:val="1"/>
      <w:numFmt w:val="decimal"/>
      <w:lvlText w:val="%1."/>
      <w:lvlJc w:val="left"/>
      <w:pPr>
        <w:tabs>
          <w:tab w:val="num" w:pos="360"/>
        </w:tabs>
        <w:ind w:left="360" w:hanging="360"/>
      </w:pPr>
    </w:lvl>
  </w:abstractNum>
  <w:abstractNum w:abstractNumId="1" w15:restartNumberingAfterBreak="0">
    <w:nsid w:val="08F97574"/>
    <w:multiLevelType w:val="hybridMultilevel"/>
    <w:tmpl w:val="556A135E"/>
    <w:lvl w:ilvl="0" w:tplc="F49A47DC">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FF1AFD"/>
    <w:multiLevelType w:val="hybridMultilevel"/>
    <w:tmpl w:val="F68AA192"/>
    <w:lvl w:ilvl="0" w:tplc="EF18149A">
      <w:start w:val="1"/>
      <w:numFmt w:val="bullet"/>
      <w:pStyle w:val="Liststycke"/>
      <w:lvlText w:val="•"/>
      <w:lvlJc w:val="left"/>
      <w:pPr>
        <w:ind w:left="1440" w:hanging="360"/>
      </w:pPr>
      <w:rPr>
        <w:rFonts w:ascii="Calibri" w:hAnsi="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18D212D"/>
    <w:multiLevelType w:val="hybridMultilevel"/>
    <w:tmpl w:val="04FC9114"/>
    <w:lvl w:ilvl="0" w:tplc="0E0E99F4">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F782F16"/>
    <w:multiLevelType w:val="hybridMultilevel"/>
    <w:tmpl w:val="3BA8140A"/>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499080194">
    <w:abstractNumId w:val="2"/>
  </w:num>
  <w:num w:numId="2" w16cid:durableId="1024789506">
    <w:abstractNumId w:val="0"/>
    <w:lvlOverride w:ilvl="0">
      <w:startOverride w:val="1"/>
    </w:lvlOverride>
  </w:num>
  <w:num w:numId="3" w16cid:durableId="1082218930">
    <w:abstractNumId w:val="0"/>
  </w:num>
  <w:num w:numId="4" w16cid:durableId="207884960">
    <w:abstractNumId w:val="4"/>
  </w:num>
  <w:num w:numId="5" w16cid:durableId="698552838">
    <w:abstractNumId w:val="2"/>
  </w:num>
  <w:num w:numId="6" w16cid:durableId="2140105376">
    <w:abstractNumId w:val="1"/>
  </w:num>
  <w:num w:numId="7" w16cid:durableId="561718478">
    <w:abstractNumId w:val="2"/>
  </w:num>
  <w:num w:numId="8" w16cid:durableId="660544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35"/>
    <w:rsid w:val="000201C2"/>
    <w:rsid w:val="000406D3"/>
    <w:rsid w:val="00061ADE"/>
    <w:rsid w:val="0007764D"/>
    <w:rsid w:val="000904F1"/>
    <w:rsid w:val="000952D7"/>
    <w:rsid w:val="000A17AE"/>
    <w:rsid w:val="000A2DC5"/>
    <w:rsid w:val="000E4392"/>
    <w:rsid w:val="000F6BE4"/>
    <w:rsid w:val="00117235"/>
    <w:rsid w:val="00134F0D"/>
    <w:rsid w:val="0016055F"/>
    <w:rsid w:val="0018092A"/>
    <w:rsid w:val="00191CB8"/>
    <w:rsid w:val="002204D9"/>
    <w:rsid w:val="002D5F38"/>
    <w:rsid w:val="0030669F"/>
    <w:rsid w:val="0034063D"/>
    <w:rsid w:val="003406F3"/>
    <w:rsid w:val="0035306C"/>
    <w:rsid w:val="00397D04"/>
    <w:rsid w:val="003D0238"/>
    <w:rsid w:val="003D0D4D"/>
    <w:rsid w:val="003D78A8"/>
    <w:rsid w:val="003E23C3"/>
    <w:rsid w:val="0041037C"/>
    <w:rsid w:val="00411A12"/>
    <w:rsid w:val="00412520"/>
    <w:rsid w:val="0041548F"/>
    <w:rsid w:val="004672D0"/>
    <w:rsid w:val="004C6574"/>
    <w:rsid w:val="00537935"/>
    <w:rsid w:val="00596CEC"/>
    <w:rsid w:val="0060120F"/>
    <w:rsid w:val="00606706"/>
    <w:rsid w:val="0061047A"/>
    <w:rsid w:val="006F3DB9"/>
    <w:rsid w:val="007A20B6"/>
    <w:rsid w:val="007B0114"/>
    <w:rsid w:val="007C1505"/>
    <w:rsid w:val="007E12A4"/>
    <w:rsid w:val="00807545"/>
    <w:rsid w:val="00842028"/>
    <w:rsid w:val="008448F8"/>
    <w:rsid w:val="00846276"/>
    <w:rsid w:val="008A2A6B"/>
    <w:rsid w:val="008A5119"/>
    <w:rsid w:val="009164B5"/>
    <w:rsid w:val="009441EB"/>
    <w:rsid w:val="00961152"/>
    <w:rsid w:val="00971694"/>
    <w:rsid w:val="00992FF0"/>
    <w:rsid w:val="009B2908"/>
    <w:rsid w:val="009D7F47"/>
    <w:rsid w:val="00A0252E"/>
    <w:rsid w:val="00A258A3"/>
    <w:rsid w:val="00A441A3"/>
    <w:rsid w:val="00A67882"/>
    <w:rsid w:val="00AA0A26"/>
    <w:rsid w:val="00AB3485"/>
    <w:rsid w:val="00AB482D"/>
    <w:rsid w:val="00B16051"/>
    <w:rsid w:val="00B217CA"/>
    <w:rsid w:val="00B6674D"/>
    <w:rsid w:val="00B94B5C"/>
    <w:rsid w:val="00BC75CD"/>
    <w:rsid w:val="00BF590C"/>
    <w:rsid w:val="00C50977"/>
    <w:rsid w:val="00CC141B"/>
    <w:rsid w:val="00CF1475"/>
    <w:rsid w:val="00D06258"/>
    <w:rsid w:val="00D2511B"/>
    <w:rsid w:val="00EE5CAE"/>
    <w:rsid w:val="00EF6B91"/>
    <w:rsid w:val="00F004B6"/>
    <w:rsid w:val="00FD7964"/>
    <w:rsid w:val="01995661"/>
    <w:rsid w:val="07911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5E00"/>
  <w15:chartTrackingRefBased/>
  <w15:docId w15:val="{6D5E0691-3DC4-42CE-82FF-FDAA1721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05"/>
    <w:pPr>
      <w:spacing w:after="240" w:line="240" w:lineRule="auto"/>
    </w:pPr>
    <w:rPr>
      <w:rFonts w:ascii="Garamond" w:hAnsi="Garamond"/>
      <w:sz w:val="24"/>
    </w:rPr>
  </w:style>
  <w:style w:type="paragraph" w:styleId="Rubrik1">
    <w:name w:val="heading 1"/>
    <w:basedOn w:val="Normal"/>
    <w:next w:val="Normal"/>
    <w:link w:val="Rubrik1Char"/>
    <w:uiPriority w:val="9"/>
    <w:qFormat/>
    <w:rsid w:val="0016055F"/>
    <w:pPr>
      <w:keepNext/>
      <w:keepLines/>
      <w:spacing w:before="240" w:after="0"/>
      <w:outlineLvl w:val="0"/>
    </w:pPr>
    <w:rPr>
      <w:rFonts w:asciiTheme="majorHAnsi" w:eastAsiaTheme="majorEastAsia" w:hAnsiTheme="majorHAnsi" w:cstheme="majorBidi"/>
      <w:color w:val="4472C4" w:themeColor="accent5"/>
      <w:sz w:val="32"/>
      <w:szCs w:val="32"/>
    </w:rPr>
  </w:style>
  <w:style w:type="paragraph" w:styleId="Rubrik2">
    <w:name w:val="heading 2"/>
    <w:basedOn w:val="Normal"/>
    <w:next w:val="Normal"/>
    <w:link w:val="Rubrik2Char"/>
    <w:uiPriority w:val="9"/>
    <w:unhideWhenUsed/>
    <w:qFormat/>
    <w:rsid w:val="0016055F"/>
    <w:pPr>
      <w:keepNext/>
      <w:keepLines/>
      <w:spacing w:before="40" w:after="0"/>
      <w:outlineLvl w:val="1"/>
    </w:pPr>
    <w:rPr>
      <w:rFonts w:asciiTheme="majorHAnsi" w:eastAsiaTheme="majorEastAsia" w:hAnsiTheme="majorHAnsi" w:cstheme="majorBidi"/>
      <w:color w:val="4472C4" w:themeColor="accent5"/>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64B5"/>
    <w:pPr>
      <w:tabs>
        <w:tab w:val="center" w:pos="4536"/>
        <w:tab w:val="right" w:pos="9072"/>
      </w:tabs>
      <w:spacing w:after="0"/>
    </w:pPr>
  </w:style>
  <w:style w:type="character" w:customStyle="1" w:styleId="SidhuvudChar">
    <w:name w:val="Sidhuvud Char"/>
    <w:basedOn w:val="Standardstycketeckensnitt"/>
    <w:link w:val="Sidhuvud"/>
    <w:uiPriority w:val="99"/>
    <w:rsid w:val="009164B5"/>
  </w:style>
  <w:style w:type="paragraph" w:styleId="Sidfot">
    <w:name w:val="footer"/>
    <w:basedOn w:val="Normal"/>
    <w:link w:val="SidfotChar"/>
    <w:uiPriority w:val="99"/>
    <w:unhideWhenUsed/>
    <w:rsid w:val="007C1505"/>
    <w:pPr>
      <w:spacing w:after="0"/>
      <w:ind w:right="-1134"/>
    </w:pPr>
    <w:rPr>
      <w:rFonts w:ascii="Calibri" w:eastAsia="Times New Roman" w:hAnsi="Calibri" w:cs="Times New Roman"/>
      <w:sz w:val="18"/>
      <w:szCs w:val="24"/>
    </w:rPr>
  </w:style>
  <w:style w:type="character" w:customStyle="1" w:styleId="SidfotChar">
    <w:name w:val="Sidfot Char"/>
    <w:basedOn w:val="Standardstycketeckensnitt"/>
    <w:link w:val="Sidfot"/>
    <w:uiPriority w:val="99"/>
    <w:rsid w:val="007C1505"/>
    <w:rPr>
      <w:rFonts w:ascii="Calibri" w:eastAsia="Times New Roman" w:hAnsi="Calibri" w:cs="Times New Roman"/>
      <w:sz w:val="18"/>
      <w:szCs w:val="24"/>
    </w:rPr>
  </w:style>
  <w:style w:type="table" w:styleId="Tabellrutnt">
    <w:name w:val="Table Grid"/>
    <w:basedOn w:val="Normaltabell"/>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Extra">
    <w:name w:val="RubrikExtra"/>
    <w:basedOn w:val="Normal"/>
    <w:link w:val="RubrikExtraChar"/>
    <w:rsid w:val="0016055F"/>
    <w:pPr>
      <w:keepNext/>
      <w:keepLines/>
      <w:spacing w:before="960" w:after="0"/>
      <w:outlineLvl w:val="3"/>
    </w:pPr>
    <w:rPr>
      <w:rFonts w:ascii="Calibri" w:eastAsia="Times New Roman" w:hAnsi="Calibri" w:cs="Times New Roman"/>
      <w:b/>
      <w:bCs/>
      <w:iCs/>
      <w:sz w:val="20"/>
      <w:szCs w:val="24"/>
    </w:rPr>
  </w:style>
  <w:style w:type="character" w:customStyle="1" w:styleId="Rubrik1Char">
    <w:name w:val="Rubrik 1 Char"/>
    <w:basedOn w:val="Standardstycketeckensnitt"/>
    <w:link w:val="Rubrik1"/>
    <w:uiPriority w:val="9"/>
    <w:rsid w:val="0016055F"/>
    <w:rPr>
      <w:rFonts w:asciiTheme="majorHAnsi" w:eastAsiaTheme="majorEastAsia" w:hAnsiTheme="majorHAnsi" w:cstheme="majorBidi"/>
      <w:color w:val="4472C4" w:themeColor="accent5"/>
      <w:sz w:val="32"/>
      <w:szCs w:val="32"/>
    </w:rPr>
  </w:style>
  <w:style w:type="character" w:customStyle="1" w:styleId="RubrikExtraChar">
    <w:name w:val="RubrikExtra Char"/>
    <w:basedOn w:val="Standardstycketeckensnitt"/>
    <w:link w:val="RubrikExtra"/>
    <w:rsid w:val="0016055F"/>
    <w:rPr>
      <w:rFonts w:ascii="Calibri" w:eastAsia="Times New Roman" w:hAnsi="Calibri" w:cs="Times New Roman"/>
      <w:b/>
      <w:bCs/>
      <w:iCs/>
      <w:sz w:val="20"/>
      <w:szCs w:val="24"/>
    </w:rPr>
  </w:style>
  <w:style w:type="character" w:customStyle="1" w:styleId="Rubrik2Char">
    <w:name w:val="Rubrik 2 Char"/>
    <w:basedOn w:val="Standardstycketeckensnitt"/>
    <w:link w:val="Rubrik2"/>
    <w:uiPriority w:val="9"/>
    <w:rsid w:val="0016055F"/>
    <w:rPr>
      <w:rFonts w:asciiTheme="majorHAnsi" w:eastAsiaTheme="majorEastAsia" w:hAnsiTheme="majorHAnsi" w:cstheme="majorBidi"/>
      <w:color w:val="4472C4" w:themeColor="accent5"/>
      <w:sz w:val="26"/>
      <w:szCs w:val="26"/>
    </w:rPr>
  </w:style>
  <w:style w:type="character" w:styleId="Starkbetoning">
    <w:name w:val="Intense Emphasis"/>
    <w:basedOn w:val="Standardstycketeckensnitt"/>
    <w:uiPriority w:val="21"/>
    <w:rsid w:val="0016055F"/>
    <w:rPr>
      <w:i/>
      <w:iCs/>
      <w:color w:val="4472C4" w:themeColor="accent5"/>
    </w:rPr>
  </w:style>
  <w:style w:type="paragraph" w:styleId="Starktcitat">
    <w:name w:val="Intense Quote"/>
    <w:basedOn w:val="Normal"/>
    <w:next w:val="Normal"/>
    <w:link w:val="StarktcitatChar"/>
    <w:uiPriority w:val="30"/>
    <w:rsid w:val="0016055F"/>
    <w:pPr>
      <w:pBdr>
        <w:top w:val="single" w:sz="4" w:space="10" w:color="5B9BD5" w:themeColor="accent1"/>
        <w:bottom w:val="single" w:sz="4" w:space="10" w:color="5B9BD5" w:themeColor="accent1"/>
      </w:pBdr>
      <w:spacing w:before="360" w:after="360"/>
      <w:ind w:left="864" w:right="864"/>
      <w:jc w:val="center"/>
    </w:pPr>
    <w:rPr>
      <w:i/>
      <w:iCs/>
      <w:color w:val="4472C4" w:themeColor="accent5"/>
    </w:rPr>
  </w:style>
  <w:style w:type="character" w:customStyle="1" w:styleId="StarktcitatChar">
    <w:name w:val="Starkt citat Char"/>
    <w:basedOn w:val="Standardstycketeckensnitt"/>
    <w:link w:val="Starktcitat"/>
    <w:uiPriority w:val="30"/>
    <w:rsid w:val="0016055F"/>
    <w:rPr>
      <w:i/>
      <w:iCs/>
      <w:color w:val="4472C4" w:themeColor="accent5"/>
    </w:rPr>
  </w:style>
  <w:style w:type="character" w:styleId="Starkreferens">
    <w:name w:val="Intense Reference"/>
    <w:basedOn w:val="Standardstycketeckensnitt"/>
    <w:uiPriority w:val="32"/>
    <w:rsid w:val="0016055F"/>
    <w:rPr>
      <w:b/>
      <w:bCs/>
      <w:smallCaps/>
      <w:color w:val="4472C4" w:themeColor="accent5"/>
      <w:spacing w:val="5"/>
    </w:rPr>
  </w:style>
  <w:style w:type="character" w:styleId="Platshllartext">
    <w:name w:val="Placeholder Text"/>
    <w:basedOn w:val="Standardstycketeckensnitt"/>
    <w:uiPriority w:val="99"/>
    <w:semiHidden/>
    <w:rsid w:val="002204D9"/>
    <w:rPr>
      <w:color w:val="808080"/>
    </w:rPr>
  </w:style>
  <w:style w:type="paragraph" w:customStyle="1" w:styleId="Svartrubrik1">
    <w:name w:val="Svart rubrik 1"/>
    <w:basedOn w:val="Rubrik1"/>
    <w:next w:val="Normal"/>
    <w:qFormat/>
    <w:rsid w:val="002204D9"/>
    <w:pPr>
      <w:spacing w:after="100"/>
      <w:outlineLvl w:val="1"/>
    </w:pPr>
    <w:rPr>
      <w:rFonts w:ascii="Calibri" w:eastAsia="Times New Roman" w:hAnsi="Calibri" w:cs="Times New Roman"/>
      <w:b/>
      <w:bCs/>
      <w:iCs/>
      <w:color w:val="auto"/>
      <w:sz w:val="28"/>
      <w:szCs w:val="28"/>
      <w:lang w:eastAsia="sv-SE"/>
    </w:rPr>
  </w:style>
  <w:style w:type="paragraph" w:customStyle="1" w:styleId="RubrikSidhuvud">
    <w:name w:val="Rubrik Sidhuvud"/>
    <w:basedOn w:val="Svartrubrik1"/>
    <w:next w:val="Normal"/>
    <w:rsid w:val="007C1505"/>
    <w:pPr>
      <w:spacing w:before="60" w:after="0"/>
    </w:pPr>
    <w:rPr>
      <w:kern w:val="32"/>
      <w:sz w:val="32"/>
      <w:szCs w:val="52"/>
    </w:rPr>
  </w:style>
  <w:style w:type="paragraph" w:customStyle="1" w:styleId="Svartrubrik2">
    <w:name w:val="Svart rubrik 2"/>
    <w:basedOn w:val="Svartrubrik1"/>
    <w:next w:val="Normal"/>
    <w:qFormat/>
    <w:rsid w:val="007C1505"/>
    <w:rPr>
      <w:sz w:val="24"/>
    </w:rPr>
  </w:style>
  <w:style w:type="paragraph" w:customStyle="1" w:styleId="Ledtextsidhuvud">
    <w:name w:val="Ledtext sidhuvud"/>
    <w:basedOn w:val="Sidfot"/>
    <w:rsid w:val="007C1505"/>
  </w:style>
  <w:style w:type="paragraph" w:styleId="Liststycke">
    <w:name w:val="List Paragraph"/>
    <w:basedOn w:val="Normal"/>
    <w:uiPriority w:val="34"/>
    <w:qFormat/>
    <w:rsid w:val="007C1505"/>
    <w:pPr>
      <w:numPr>
        <w:numId w:val="1"/>
      </w:numPr>
      <w:contextualSpacing/>
    </w:pPr>
    <w:rPr>
      <w:szCs w:val="24"/>
    </w:rPr>
  </w:style>
  <w:style w:type="table" w:styleId="Rutntstabell4dekorfrg1">
    <w:name w:val="Grid Table 4 Accent 1"/>
    <w:basedOn w:val="Normaltabell"/>
    <w:uiPriority w:val="49"/>
    <w:rsid w:val="00537935"/>
    <w:pPr>
      <w:spacing w:after="0" w:line="240" w:lineRule="auto"/>
    </w:pPr>
    <w:rPr>
      <w:kern w:val="2"/>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dNoteBibliography">
    <w:name w:val="EndNote Bibliography"/>
    <w:basedOn w:val="Normal"/>
    <w:link w:val="EndNoteBibliographyChar"/>
    <w:rsid w:val="00537935"/>
    <w:pPr>
      <w:spacing w:after="160"/>
    </w:pPr>
    <w:rPr>
      <w:rFonts w:ascii="Aptos" w:hAnsi="Aptos"/>
      <w:noProof/>
      <w:kern w:val="2"/>
      <w:sz w:val="22"/>
      <w:lang w:val="en-US"/>
      <w14:ligatures w14:val="standardContextual"/>
    </w:rPr>
  </w:style>
  <w:style w:type="character" w:customStyle="1" w:styleId="EndNoteBibliographyChar">
    <w:name w:val="EndNote Bibliography Char"/>
    <w:basedOn w:val="Standardstycketeckensnitt"/>
    <w:link w:val="EndNoteBibliography"/>
    <w:rsid w:val="00537935"/>
    <w:rPr>
      <w:rFonts w:ascii="Aptos" w:hAnsi="Aptos"/>
      <w:noProof/>
      <w:kern w:val="2"/>
      <w:lang w:val="en-US"/>
      <w14:ligatures w14:val="standardContextual"/>
    </w:rPr>
  </w:style>
  <w:style w:type="character" w:styleId="Kommentarsreferens">
    <w:name w:val="annotation reference"/>
    <w:basedOn w:val="Standardstycketeckensnitt"/>
    <w:uiPriority w:val="99"/>
    <w:semiHidden/>
    <w:unhideWhenUsed/>
    <w:rsid w:val="0061047A"/>
    <w:rPr>
      <w:sz w:val="16"/>
      <w:szCs w:val="16"/>
    </w:rPr>
  </w:style>
  <w:style w:type="paragraph" w:styleId="Kommentarer">
    <w:name w:val="annotation text"/>
    <w:basedOn w:val="Normal"/>
    <w:link w:val="KommentarerChar"/>
    <w:uiPriority w:val="99"/>
    <w:unhideWhenUsed/>
    <w:rsid w:val="000201C2"/>
    <w:rPr>
      <w:sz w:val="20"/>
      <w:szCs w:val="20"/>
    </w:rPr>
  </w:style>
  <w:style w:type="character" w:customStyle="1" w:styleId="KommentarerChar">
    <w:name w:val="Kommentarer Char"/>
    <w:basedOn w:val="Standardstycketeckensnitt"/>
    <w:link w:val="Kommentarer"/>
    <w:uiPriority w:val="99"/>
    <w:rsid w:val="000201C2"/>
    <w:rPr>
      <w:rFonts w:ascii="Garamond" w:hAnsi="Garamond"/>
      <w:sz w:val="20"/>
      <w:szCs w:val="20"/>
    </w:rPr>
  </w:style>
  <w:style w:type="paragraph" w:styleId="Kommentarsmne">
    <w:name w:val="annotation subject"/>
    <w:basedOn w:val="Kommentarer"/>
    <w:next w:val="Kommentarer"/>
    <w:link w:val="KommentarsmneChar"/>
    <w:uiPriority w:val="99"/>
    <w:semiHidden/>
    <w:unhideWhenUsed/>
    <w:rsid w:val="000201C2"/>
    <w:rPr>
      <w:b/>
      <w:bCs/>
    </w:rPr>
  </w:style>
  <w:style w:type="character" w:customStyle="1" w:styleId="KommentarsmneChar">
    <w:name w:val="Kommentarsämne Char"/>
    <w:basedOn w:val="KommentarerChar"/>
    <w:link w:val="Kommentarsmne"/>
    <w:uiPriority w:val="99"/>
    <w:semiHidden/>
    <w:rsid w:val="000201C2"/>
    <w:rPr>
      <w:rFonts w:ascii="Garamond" w:hAnsi="Garamond"/>
      <w:b/>
      <w:bCs/>
      <w:sz w:val="20"/>
      <w:szCs w:val="20"/>
    </w:rPr>
  </w:style>
  <w:style w:type="paragraph" w:styleId="Revision">
    <w:name w:val="Revision"/>
    <w:hidden/>
    <w:uiPriority w:val="99"/>
    <w:semiHidden/>
    <w:rsid w:val="00961152"/>
    <w:pPr>
      <w:spacing w:after="0" w:line="240" w:lineRule="auto"/>
    </w:pPr>
    <w:rPr>
      <w:rFonts w:ascii="Garamond" w:hAnsi="Garamond"/>
      <w:sz w:val="24"/>
    </w:rPr>
  </w:style>
  <w:style w:type="character" w:styleId="Nmn">
    <w:name w:val="Mention"/>
    <w:basedOn w:val="Standardstycketeckensnitt"/>
    <w:uiPriority w:val="99"/>
    <w:unhideWhenUsed/>
    <w:rsid w:val="00A258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t\AppData\Roaming\Microsoft\Mallar\Projekt\Bilaga%20till%20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8D72EC68E0FA47BDA978162C5770CA" ma:contentTypeVersion="4" ma:contentTypeDescription="Skapa ett nytt dokument." ma:contentTypeScope="" ma:versionID="689ee413538ab6edffe25dc8831d02bc">
  <xsd:schema xmlns:xsd="http://www.w3.org/2001/XMLSchema" xmlns:xs="http://www.w3.org/2001/XMLSchema" xmlns:p="http://schemas.microsoft.com/office/2006/metadata/properties" xmlns:ns2="0dfadbd6-de6e-4258-9f7c-f3e61848be19" targetNamespace="http://schemas.microsoft.com/office/2006/metadata/properties" ma:root="true" ma:fieldsID="25405d96ea743a46209bd7530645a163" ns2:_="">
    <xsd:import namespace="0dfadbd6-de6e-4258-9f7c-f3e61848be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adbd6-de6e-4258-9f7c-f3e61848b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4BD00-4479-4820-806F-F5F670288E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273FA1-6368-4369-8EEC-41D9CA314EBE}">
  <ds:schemaRefs>
    <ds:schemaRef ds:uri="http://schemas.openxmlformats.org/officeDocument/2006/bibliography"/>
  </ds:schemaRefs>
</ds:datastoreItem>
</file>

<file path=customXml/itemProps3.xml><?xml version="1.0" encoding="utf-8"?>
<ds:datastoreItem xmlns:ds="http://schemas.openxmlformats.org/officeDocument/2006/customXml" ds:itemID="{5A50F455-17BE-4CE0-B28B-936677328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adbd6-de6e-4258-9f7c-f3e61848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8679D-274D-4023-9EA2-C0B3D26A4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Bilaga till rapport</Template>
  <TotalTime>31</TotalTime>
  <Pages>2</Pages>
  <Words>409</Words>
  <Characters>2173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SBU</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Attergren Granath</dc:creator>
  <cp:keywords/>
  <dc:description/>
  <cp:lastModifiedBy>Lillemor Dimberg</cp:lastModifiedBy>
  <cp:revision>29</cp:revision>
  <dcterms:created xsi:type="dcterms:W3CDTF">2025-05-08T07:48:00Z</dcterms:created>
  <dcterms:modified xsi:type="dcterms:W3CDTF">2025-05-15T13:22:00Z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0x010100D08D72EC68E0FA47BDA978162C5770CA</vt:lpwstr>
  </property>
</Properties>
</file>